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SVM</w:t>
      </w:r>
      <w:r>
        <w:rPr>
          <w:rFonts w:ascii="Calibri" w:hAnsi="Calibri"/>
          <w:b/>
          <w:color w:val="1A2010"/>
          <w:sz w:val="40"/>
        </w:rPr>
        <w:t xml:space="preserve">  Silvercorp Metals Inc.</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American · Canada</w:t>
      </w:r>
    </w:p>
    <w:p>
      <w:pPr>
        <w:spacing w:after="80"/>
      </w:pPr>
      <w:r>
        <w:rPr>
          <w:rFonts w:ascii="Calibri" w:hAnsi="Calibri"/>
          <w:b w:val="0"/>
          <w:color w:val="3A4A28"/>
          <w:sz w:val="20"/>
        </w:rPr>
        <w:t>Silvercorp Metals is a Canadian silver mining company operating silver-lead-zinc mines in China's Ying Mining District and GC Mine, with exploration projects in Ecuador and Ireland. The company produces silver, gold, lead, zinc, and copper, with silver representing 72% of quarterly revenue.</w:t>
      </w:r>
    </w:p>
    <w:p>
      <w:r>
        <w:rPr>
          <w:rFonts w:ascii="Calibri" w:hAnsi="Calibri"/>
          <w:b/>
          <w:color w:val="6E8450"/>
          <w:sz w:val="18"/>
        </w:rPr>
        <w:t>1,190 Employees · https://silvercorpmetals.com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Silvercorp has successfully expanded from Chinese mine operator to a global mining company, acquiring the El Domo copper-gold project in Ecuador and exploration assets in Ireland, while growing revenue from ~$200M to $366M TTM on surging silver prices [1]. The company achieved Q3 FY2026 revenue of $126.1M (up 50.8% YoY) with 336% free cash flow growth [1]. AI Deployment (0/2): No AI products or AI-driven cost savings reported — the company's digital innovation is limited to a proprietary digital information management tool for mine operations [2]. Market Share (1/2): Silvercorp is the largest primary silver producer in China and a meaningful mid-tier silver miner globally, though it does not dominate the global silver market [2]. Pipeline (1/2): The El Domo project in Ecuador provides a clear next-generation growth asset, and fiscal 2026 guidance calls for 21-39% gold production growth and 6-9% silver production growth, though timelines for El Domo commercial production remain distant [1]. R&amp;D Intensity (1/1): CEO Rui Feng pioneered digital mine management tools and the company invests in mining technology innovation above typical junior/mid-tier mining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Silvercorp's mission 'to build and operate profitable mines that generate sustainable economic, social, and environmental value for all stakeholders' is clear and specific to mining but does not articulate a transformative vision beyond industry-standard responsible mining language [2]. Community Impact (2/2): The company achieved 98% community support at El Domo in Ecuador, holds ISO 14001 and ISO 45001 certifications, and publishes annual sustainability reports aligned with GRI, TCFD, and UN SDGs [3]. Employee Retention (1/2): CEO Rui Feng has led the company for 21+ years since founding it in 2003, providing exceptional leadership continuity, though broader employee retention data for the 1,190-person workforce was not available [2]. Insider Buying (0/2): No evidence of meaningful insider buying found; CEO compensation is 70.6% stock-based which provides alignment but is standard for mining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Silvercorp's balance sheet is exceptionally strong for a mining company. D/E of 13.2% is well below the 70% target (score 1.0), forward P/E of 6.6x is far below the 20 target (score 1.0), and revenue growth YoY of 50.8% easily exceeds the 10% target (score 1.0) [4]. Revenue growth 5yr CAGR estimated at ~15% scores 1.0. ROE of 1.5% scores low at 0.103 due to GAAP losses from $60M non-cash derivative charges in Q3, though adjusted ROE would be significantly higher [1][4]. Profit margin of -4.6% (GAAP) hits the floor at 0.0, again distorted by non-cash charges — operating margin is 54.5% [4]. PEG unavailable, excluded. Growth weighting: 1.0(1x) + 0.103(2x) + 1.0(1x) + 1.0(2x) + 1.0(1x) + 0.0(1x) = 5.206/8 = 6.5 → rounds to 7. Liquidity: 6.5M × $10.23 = $66.5M — easily clears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Silvercorp under founder-CEO Rui Feng demonstrates strong long-term orientation — 21 years of consistent leadership focused on building sustainable mining operations in China, with patient expansion into Ecuador and Ireland. However, the company's just cause is conventional for the industry and there is limited evidence of the kind of transformative flexibility Sinek values most highly.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Silvercorp's mission to 'generate sustainable economic, social, and environmental value' is genuine and connects mining to broader stakeholder impact, but it reads as thoughtful industry standard rather than a transformative just cause that shapes competitive behavior. The 98% community support at El Domo and 21-year leadership consistency suggest the purpose is lived out, but it hasn't been tested through existential crisis [2][3].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Rui Feng's 21-year tenure provides exceptional leadership continuity, and the 1,190-employee company maintains ISO 45001 safety certification. However, the GC Mine safety incident — where a contractor failed to report a fatal accident — revealed gaps in the trust chain between management and contractors, resulting in mine closures and 20-25% production shortfall [3].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Silvercorp positions itself as a complement to larger mining companies rather than a competitor to crush — its neutral approach to the silver market and willingness to partner (joint ventures, strategic investments) shows a mindset focused on building capability rather than market domination [2].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Silvercorp has expanded from pure Chinese silver mining to international operations (Ecuador copper-gold, Ireland exploration), representing meaningful geographic and commodity diversification. The El Domo acquisition was a strategic bet on the energy transition's copper demand, though the core business model of underground mining remains unchanged [1][2].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Rui Feng demonstrated courage by acquiring the El Domo project in Ecuador — a jurisdiction with regulatory uncertainty — and persisting through multi-tier legal challenges until securing a 2025 constitutional court victory [3]. The company also maintained its dividend through silver price downturns. However, no evidence of sacrificing near-term earnings for long-term capability beyond standard mining CapEx [1].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Silvercorp Metals is a well-run mid-tier silver miner delivering exceptional growth driven by surging precious metals prices. Q3 FY2026 revenue of $126.1M grew 50.8% YoY with adjusted EPS of $0.22 (beating estimates by 83%), gross profit up 163.7%, and free cash flow of $90M (up 336%) [1]. The balance sheet is fortress-grade: $463M cash, $233M investments, D/E of just 13.2%, and forward P/E of 6.6x — making it one of the cheapest silver miners relative to cash flow generation [1][4]. Silver at $49/oz is the core thesis, with 72% revenue exposure providing direct leverage to precious metals. The El Domo copper-gold project in Ecuador and production guidance calling for 21-39% gold growth and 6-9% silver growth in FY2026 provide a clear multi-year expansion runway [1].</w:t>
      </w:r>
    </w:p>
    <w:p>
      <w:pPr>
        <w:spacing w:after="120"/>
      </w:pPr>
      <w:r>
        <w:rPr>
          <w:rFonts w:ascii="Calibri" w:hAnsi="Calibri"/>
          <w:b w:val="0"/>
          <w:color w:val="3A4A28"/>
          <w:sz w:val="20"/>
        </w:rPr>
        <w:t>The bear case centers on commodity price dependence and geographic concentration risk. Silver at $49/oz is well above historical averages, and a silver price correction to $25-30/oz would halve revenue and potentially push the company into operating losses. GAAP profitability is already negative (-4.6% margin) due to $60M non-cash derivative charges, masking underlying operating profitability [1][4]. China concentration risk remains significant — the Ying Mining District and GC Mine in China generate virtually all production, exposing the company to Chinese regulatory changes, environmental enforcement, and geopolitical tensions. The GC Mine safety incident revealed contractor management gaps that caused 20-25% quarterly production shortfalls [3]. Ecuador's El Domo project faces anti-mining activism risk despite the 2025 court victory. The 1,190-employee workforce is small relative to the operational complexity across multiple jurisdictions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silver price above $45/oz providing direct revenue uplift — each $5/oz increase in silver adds approximately $35M in annual revenue given 7.5M oz annual production [1]</w:t>
      </w:r>
    </w:p>
    <w:p>
      <w:pPr>
        <w:spacing w:before="40" w:after="40"/>
        <w:ind w:left="283"/>
      </w:pPr>
      <w:r>
        <w:rPr>
          <w:rFonts w:ascii="Calibri" w:hAnsi="Calibri"/>
          <w:b/>
          <w:color w:val="4A6B25"/>
          <w:sz w:val="20"/>
        </w:rPr>
        <w:t xml:space="preserve">2. </w:t>
      </w:r>
      <w:r>
        <w:rPr>
          <w:rFonts w:ascii="Calibri" w:hAnsi="Calibri"/>
          <w:b w:val="0"/>
          <w:color w:val="3A4A28"/>
          <w:sz w:val="20"/>
        </w:rPr>
        <w:t>El Domo copper-gold project in Ecuador advancing toward production, diversifying the revenue base beyond Chinese silver operations with exposure to copper's energy transition demand [3]</w:t>
      </w:r>
    </w:p>
    <w:p>
      <w:pPr>
        <w:spacing w:before="40" w:after="40"/>
        <w:ind w:left="283"/>
      </w:pPr>
      <w:r>
        <w:rPr>
          <w:rFonts w:ascii="Calibri" w:hAnsi="Calibri"/>
          <w:b/>
          <w:color w:val="4A6B25"/>
          <w:sz w:val="20"/>
        </w:rPr>
        <w:t xml:space="preserve">3. </w:t>
      </w:r>
      <w:r>
        <w:rPr>
          <w:rFonts w:ascii="Calibri" w:hAnsi="Calibri"/>
          <w:b w:val="0"/>
          <w:color w:val="3A4A28"/>
          <w:sz w:val="20"/>
        </w:rPr>
        <w:t>Fiscal 2026 production growth guidance of 21-39% in gold and 6-9% in silver, combined with $463M cash position enabling opportunistic M&amp;A in a consolidating mid-tier mining sector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correction — 72% of revenue is silver-linked, and a return to $25-30/oz from current $49/oz would severely impair revenue and cash flow generation [1]</w:t>
      </w:r>
    </w:p>
    <w:p>
      <w:pPr>
        <w:spacing w:before="40" w:after="40"/>
        <w:ind w:left="283"/>
      </w:pPr>
      <w:r>
        <w:rPr>
          <w:rFonts w:ascii="Calibri" w:hAnsi="Calibri"/>
          <w:b/>
          <w:color w:val="4A6B25"/>
          <w:sz w:val="20"/>
        </w:rPr>
        <w:t xml:space="preserve">2. </w:t>
      </w:r>
      <w:r>
        <w:rPr>
          <w:rFonts w:ascii="Calibri" w:hAnsi="Calibri"/>
          <w:b w:val="0"/>
          <w:color w:val="3A4A28"/>
          <w:sz w:val="20"/>
        </w:rPr>
        <w:t>China operational concentration — virtually all current production comes from Chinese mines subject to regulatory, environmental, and geopolitical risk including potential U.S.-China trade disruptions [2]</w:t>
      </w:r>
    </w:p>
    <w:p>
      <w:pPr>
        <w:spacing w:before="40" w:after="40"/>
        <w:ind w:left="283"/>
      </w:pPr>
      <w:r>
        <w:rPr>
          <w:rFonts w:ascii="Calibri" w:hAnsi="Calibri"/>
          <w:b/>
          <w:color w:val="4A6B25"/>
          <w:sz w:val="20"/>
        </w:rPr>
        <w:t xml:space="preserve">3. </w:t>
      </w:r>
      <w:r>
        <w:rPr>
          <w:rFonts w:ascii="Calibri" w:hAnsi="Calibri"/>
          <w:b w:val="0"/>
          <w:color w:val="3A4A28"/>
          <w:sz w:val="20"/>
        </w:rPr>
        <w:t>Safety and contractor management gaps — the GC Mine fatal incident and subsequent 20-25% production shortfall revealed weaknesses in operational controls that could recur across the growing mine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mining is a physical-world operation that AI cannot displace — extracting metals from underground requires drilling, blasting, and ore processing that is fundamentally immune to AI substitution [2]. Moreover, AI is a demand driver for silver: AI data centers require massive power infrastructure, and silver is a critical component in solar panels, electrical contacts, and semiconductors that power the AI ecosystem. Analysts see zero substitution risk for mining operations. AI Opportunity (0/1): Silvercorp does not generate revenue from AI products or services. The company's digital mine management tools use basic digitization rather than AI-driven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Silvercorp Metals Q3 FY2026 Earnings Release — $126.1M revenue, $47.9M adjusted net income, $0.22 EPS, $132.9M operating cash flow, February 2026</w:t>
      </w:r>
    </w:p>
    <w:p>
      <w:pPr>
        <w:spacing w:before="20" w:after="20"/>
        <w:ind w:left="170"/>
      </w:pPr>
      <w:r>
        <w:rPr>
          <w:rFonts w:ascii="Calibri" w:hAnsi="Calibri"/>
          <w:b/>
          <w:color w:val="4A6B25"/>
          <w:sz w:val="15"/>
        </w:rPr>
        <w:t xml:space="preserve">2. </w:t>
      </w:r>
      <w:r>
        <w:rPr>
          <w:rFonts w:ascii="Calibri" w:hAnsi="Calibri"/>
          <w:b w:val="0"/>
          <w:color w:val="3A4A28"/>
          <w:sz w:val="17"/>
        </w:rPr>
        <w:t>Silvercorp Metals corporate website — leadership, about, innovation pages; CEO Rui Feng 21-year tenure, 1,190 employees,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Silvercorp FY2025 Sustainability Report and El Domo Project updates — ISO certifications, GC Mine safety incident, Ecuador regulatory certainty,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SVM (Silvercorp Metals),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