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SVRN</w:t>
      </w:r>
      <w:r>
        <w:rPr>
          <w:rFonts w:ascii="Calibri" w:hAnsi="Calibri"/>
          <w:b/>
          <w:color w:val="1A2010"/>
          <w:sz w:val="40"/>
        </w:rPr>
        <w:t xml:space="preserve">  OceanPal Inc.</w:t>
      </w:r>
    </w:p>
    <w:p>
      <w:pPr>
        <w:spacing w:after="120"/>
      </w:pPr>
      <w:r>
        <w:rPr>
          <w:rFonts w:ascii="Calibri" w:hAnsi="Calibri"/>
          <w:b/>
          <w:color w:val="6E8450"/>
          <w:sz w:val="18"/>
        </w:rPr>
        <w:t>GROWTH SLEEVE · 2026-04-01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OceanPal Inc. operates a dual business model: a legacy dry bulk shipping fleet of three Panamax carriers and one MR2 product tanker, and SovereignAI Services LLC, a digital asset treasury subsidiary holding approximately 51.3 million NEAR Protocol tokens ($77.5M) with plans to build confidential AI cloud infrastructure. The company changed its ticker from OP to SVRN in November 2025.</w:t>
      </w:r>
    </w:p>
    <w:p>
      <w:r>
        <w:rPr>
          <w:rFonts w:ascii="Calibri" w:hAnsi="Calibri"/>
          <w:b/>
          <w:color w:val="6E8450"/>
          <w:sz w:val="18"/>
        </w:rPr>
        <w:t>https://www.oceanpal.com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OceanPal executed a significant strategic pivot in 2025 — launching SovereignAI and closing a $120M PIPE to become the first publicly traded NEAR Protocol treasury vehicle [1][2]. However, the core shipping business deteriorated with vessel revenue halving from $25.7M to $13.4M, and the stock has destroyed 99%+ of shareholder value since its 2021 IPO [1]. AI Deployment (1/2): SovereignAI's partnership with NEAR Foundation includes plans to develop a confidential AI cloud platform powered by NEAR and NVIDIA technologies, and the advisory board includes NEAR co-founder Illia Polosukhin and OpenAI researcher Lukasz Kaiser [2]. However, no AI products are shipping and the platform is pre-revenue. Market Share (0/2): OceanPal operates a tiny 4-vessel fleet with no meaningful market share in dry bulk shipping, and SovereignAI's 4.2% NEAR token supply position is a financial holding, not market share in a product category [1]. Pipeline (1/2): Plans to accumulate 10% of NEAR total supply and build AI infrastructure represent a defined strategic direction, though timelines are vague and execution unproven [2]. R&amp;D Intensity (0/1): No R&amp;D spending evident; SovereignAI's $3.1M annualized burn rate covers operations, not research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OceanPal's purpose has shifted from maritime transportation to positioning itself 'at the convergence of two massive transformations — AI and digital ownership' [2]. This is trend-chasing language, not a genuine purpose statement — it reads as financial engineering narrative rather than an enduring mission. Community Impact (0/2): No evidence of charitable giving, community programs, or social impact initiatives from this Athens-based micro-cap [2]. Employee Retention (0/2): No employee count disclosed, no Glassdoor reviews, no retention data available. The company operates with minimal staff through its Greek maritime structure [2]. Insider Buying (1/2): Co-CEO Sal Ternullo joined with significant equity alignment through the PIPE transaction, and the $120M raise demonstrates institutional conviction from partners including NEAR Foundation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OceanPal's only positive metric is zero debt ($0 total debt, $33.2M cash, $77.5M in digital assets), giving a perfect D/E score [3]. However, every other metric is severely impaired: ROE of -54.1% from a $65.2M net loss, revenue declining 37.4% YoY to $13.4M as the fleet shrank, profit margin at approximately 0%, and no forward P/E or PEG available [1][3]. The net loss was primarily driven by non-cash unrealized fair value adjustments on NEAR tokens and one-time PIPE transaction costs [1]. Stockholders' equity of $156.6M provides a book value floor, but operational profitability is absent. 2026 guidance ranges from -$1.1M to +$14.4M adjusted EBITDA depending on NEAR token price scenarios [1]. Liquidity floor marginally cleared at $1.8M daily traded value post-reverse-split.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OceanPal is the quintessential finite player — a company that has reinvented itself multiple times not in service of an enduring purpose but in pursuit of whatever trend offers the highest speculative return. The pivot from shipping to crypto treasury occurred in 2025 after the stock lost 99%+ of its value, suggesting desperation rather than vision. The 1-for-20 reverse split to maintain Nasdaq compliance and the SVRN ticker change are financial engineering, not evidence of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 1/10): OceanPal has no Just Cause. The company exists to maximize shareholder value through financial arbitrage — first in shipping, now in NEAR Protocol tokens [2]. Co-CEO Ternullo's framing of NEAR as 'the greatest asymmetric upside across mature projects in the digital asset market' is explicitly finite language about winning a financial bet, not advancing a cause [2]. The company's purpose changes with market trends.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No employee data is available — the company operates with an undisclosed skeleton crew through its Greek maritime structure [2]. The dual-CEO structure (Robert Perri for shipping, Sal Ternullo for SovereignAI) was created in 2025, suggesting organizational instability rather than a high-trust environment. The 99%+ stock price destruction since 2021 would severely undermine any remaining employee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Leadership frames SovereignAI in terms of 'capturing' upside and being 'first' to hold NEAR tokens publicly — language focused on winning market position rather than learning from competitors [2]. No evidence of acknowledging hyperscaler AI infrastructure competitors or learning from rival blockchain treasury strategies.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OceanPal has made a dramatic strategic pivot from pure-play shipping to a hybrid shipping/crypto treasury model, effectively redefining the company around NEAR Protocol [1][2]. The $120M PIPE and SovereignAI launch represent genuine transformation. However, Sinek would distinguish between purposeful flexibility (driven by a Just Cause) and desperate flexibility (driven by a failing business model), and OceanPal's pivot appears to be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 2/10): The $120M PIPE transaction and bet on NEAR Protocol could be framed as courageous, but it occurred after the stock had already lost 99%+ of its value and the shipping business was in decline [1][2]. The reverse stock split and ticker change to maintain Nasdaq listing are survival tactics, not courageous long-term investments. Leadership compensation relative to shareholder value destruction raises questions about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OceanPal offers a unique public market vehicle for NEAR Protocol exposure through SovereignAI, holding 51.3M NEAR tokens worth $77.5M against a $12M market cap, creating a significant NAV discount [1]. Stockholders' equity of $156.6M versus $12M market cap represents a potential 13x upside to book value. The NEAR staking yield generates approximately $3.6M in annualized revenue, and the advisory board (NEAR co-founder Illia Polosukhin, OpenAI researcher Lukasz Kaiser) lends credibility to the AI infrastructure vision [2]. If NEAR token price appreciates and the AI cloud platform materializes, the upside is asymmetric. The shipping segment provides $1.5-2.5M in EBITDA stability [1].</w:t>
      </w:r>
    </w:p>
    <w:p>
      <w:pPr>
        <w:spacing w:after="120"/>
      </w:pPr>
      <w:r>
        <w:rPr>
          <w:rFonts w:ascii="Calibri" w:hAnsi="Calibri"/>
          <w:b w:val="0"/>
          <w:color w:val="3A4A28"/>
          <w:sz w:val="20"/>
        </w:rPr>
        <w:t>The bear case is severe. OceanPal has destroyed 99%+ of shareholder value since its 2021 IPO, with the stock falling from an all-time high of $60,450 (split-adjusted) to $7.10 [3]. The $120M PIPE massively diluted existing shareholders to fund a speculative crypto treasury strategy with no proven business model. Revenue declined 37.4% to $13.4M with a $65.2M net loss in 2025 [1]. The NEAR token position creates concentrated crypto risk — a 50% decline in NEAR would erase most of the balance sheet value. Nasdaq delisting risk required a 1-for-20 reverse split just to maintain listing compliance [1]. The company has no operational AI products, no proven technology team, and no revenue from AI infrastructure. The dual shipping/crypto model lacks strategic coherence, and the SovereignAI advisory board's participation does not guarantee execution. This is a speculative vehicle, not an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NEAR Protocol token price appreciation — SovereignAI holds 4.2% of total NEAR supply with plans to reach 10%, creating leveraged upside to NEAR token performance [1][2]</w:t>
      </w:r>
    </w:p>
    <w:p>
      <w:pPr>
        <w:spacing w:before="40" w:after="40"/>
        <w:ind w:left="283"/>
      </w:pPr>
      <w:r>
        <w:rPr>
          <w:rFonts w:ascii="Calibri" w:hAnsi="Calibri"/>
          <w:b/>
          <w:color w:val="4A6B25"/>
          <w:sz w:val="20"/>
        </w:rPr>
        <w:t xml:space="preserve">2. </w:t>
      </w:r>
      <w:r>
        <w:rPr>
          <w:rFonts w:ascii="Calibri" w:hAnsi="Calibri"/>
          <w:b w:val="0"/>
          <w:color w:val="3A4A28"/>
          <w:sz w:val="20"/>
        </w:rPr>
        <w:t>AI cloud platform development with NEAR Foundation and NVIDIA technologies could create real infrastructure revenue beyond staking yields [2]</w:t>
      </w:r>
    </w:p>
    <w:p>
      <w:pPr>
        <w:spacing w:before="40" w:after="40"/>
        <w:ind w:left="283"/>
      </w:pPr>
      <w:r>
        <w:rPr>
          <w:rFonts w:ascii="Calibri" w:hAnsi="Calibri"/>
          <w:b/>
          <w:color w:val="4A6B25"/>
          <w:sz w:val="20"/>
        </w:rPr>
        <w:t xml:space="preserve">3. </w:t>
      </w:r>
      <w:r>
        <w:rPr>
          <w:rFonts w:ascii="Calibri" w:hAnsi="Calibri"/>
          <w:b w:val="0"/>
          <w:color w:val="3A4A28"/>
          <w:sz w:val="20"/>
        </w:rPr>
        <w:t>Shipping segment stabilization with $13-14M revenue guidance and $1.5-2.5M EBITDA in 2026, no drydockings scheduled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Concentrated crypto exposure — 51.3M NEAR tokens represent the majority of balance sheet value, and a sustained NEAR price decline would trigger significant losses and potential equity impairment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even after the 1-for-20 reverse split, maintaining $1.00 minimum bid price requires sustained stock appreciation from current levels [1]</w:t>
      </w:r>
    </w:p>
    <w:p>
      <w:pPr>
        <w:spacing w:before="40" w:after="40"/>
        <w:ind w:left="283"/>
      </w:pPr>
      <w:r>
        <w:rPr>
          <w:rFonts w:ascii="Calibri" w:hAnsi="Calibri"/>
          <w:b/>
          <w:color w:val="4A6B25"/>
          <w:sz w:val="20"/>
        </w:rPr>
        <w:t xml:space="preserve">3. </w:t>
      </w:r>
      <w:r>
        <w:rPr>
          <w:rFonts w:ascii="Calibri" w:hAnsi="Calibri"/>
          <w:b w:val="0"/>
          <w:color w:val="3A4A28"/>
          <w:sz w:val="20"/>
        </w:rPr>
        <w:t>Extreme dilution and value destruction — 99%+ shareholder loss since 2021 IPO with continued dilution through PIPE transactions, making this a highly speculative vehicle with no proven path to operational profitability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OceanPal's legacy shipping business is structurally immune to AI disruption — physical vessel operations, port logistics, and bulk cargo transportation cannot be replaced by AI [2]. However, the company has effectively pivoted its balance sheet to become a crypto treasury vehicle holding 51.3M NEAR tokens, making it more a speculative digital asset play than a shipping company [1]. The NEAR token position is exposed to competitive AI infrastructure platforms and crypto market volatility, and SovereignAI's planned AI cloud platform faces competition from hyperscalers (AWS, Azure, GCP) with vastly greater resources. AI Opportunity (1/1): SovereignAI generates approximately $3.6M in annualized staking reward income from NEAR tokens at current prices, representing quantifiable digital asset/AI-adjacent revenue, and the NEAR Foundation partnership includes development of AI infrastructure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OceanPal 2025 Annual Results and 2026 Guidance — $13.4M revenue, $65.2M net loss, SovereignAI launch, March 26, 2026</w:t>
      </w:r>
    </w:p>
    <w:p>
      <w:pPr>
        <w:spacing w:before="20" w:after="20"/>
        <w:ind w:left="170"/>
      </w:pPr>
      <w:r>
        <w:rPr>
          <w:rFonts w:ascii="Calibri" w:hAnsi="Calibri"/>
          <w:b/>
          <w:color w:val="4A6B25"/>
          <w:sz w:val="15"/>
        </w:rPr>
        <w:t xml:space="preserve">2. </w:t>
      </w:r>
      <w:r>
        <w:rPr>
          <w:rFonts w:ascii="Calibri" w:hAnsi="Calibri"/>
          <w:b w:val="0"/>
          <w:color w:val="3A4A28"/>
          <w:sz w:val="17"/>
        </w:rPr>
        <w:t>CoinTelegraph, The Block, PR Newswire — OceanPal $120M PIPE, SovereignAI launch, NEAR Foundation partnership, leadership appointments,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SVRN (OceanPal),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