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drawing>
          <wp:inline xmlns:a="http://schemas.openxmlformats.org/drawingml/2006/main" xmlns:pic="http://schemas.openxmlformats.org/drawingml/2006/picture">
            <wp:extent cx="1371600" cy="723227"/>
            <wp:docPr id="1" name="Picture 1"/>
            <wp:cNvGraphicFramePr>
              <a:graphicFrameLocks noChangeAspect="1"/>
            </wp:cNvGraphicFramePr>
            <a:graphic>
              <a:graphicData uri="http://schemas.openxmlformats.org/drawingml/2006/picture">
                <pic:pic>
                  <pic:nvPicPr>
                    <pic:cNvPr id="0" name="image.png"/>
                    <pic:cNvPicPr/>
                  </pic:nvPicPr>
                  <pic:blipFill>
                    <a:blip r:embed="rId9"/>
                    <a:stretch>
                      <a:fillRect/>
                    </a:stretch>
                  </pic:blipFill>
                  <pic:spPr>
                    <a:xfrm>
                      <a:off x="0" y="0"/>
                      <a:ext cx="1371600" cy="723227"/>
                    </a:xfrm>
                    <a:prstGeom prst="rect"/>
                  </pic:spPr>
                </pic:pic>
              </a:graphicData>
            </a:graphic>
          </wp:inline>
        </w:drawing>
      </w:r>
    </w:p>
    <w:p>
      <w:pPr>
        <w:spacing w:before="120" w:after="40"/>
      </w:pPr>
      <w:r>
        <w:rPr>
          <w:rFonts w:ascii="Calibri" w:hAnsi="Calibri"/>
          <w:b/>
          <w:color w:val="4A6B25"/>
          <w:sz w:val="56"/>
        </w:rPr>
        <w:t>SWIM</w:t>
      </w:r>
      <w:r>
        <w:rPr>
          <w:rFonts w:ascii="Calibri" w:hAnsi="Calibri"/>
          <w:b/>
          <w:color w:val="1A2010"/>
          <w:sz w:val="40"/>
        </w:rPr>
        <w:t xml:space="preserve">  Latham Group, Inc.</w:t>
      </w:r>
    </w:p>
    <w:p>
      <w:pPr>
        <w:spacing w:after="120"/>
      </w:pPr>
      <w:r>
        <w:rPr>
          <w:rFonts w:ascii="Calibri" w:hAnsi="Calibri"/>
          <w:b/>
          <w:color w:val="6E8450"/>
          <w:sz w:val="18"/>
        </w:rPr>
        <w:t>GROWTH SLEEVE · 2026-05-05 · Inspire: 49 · MIXED</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1200" w:type="dxa"/>
      </w:tblPr>
      <w:tblGrid>
        <w:gridCol w:w="10800"/>
      </w:tblGrid>
      <w:tr>
        <w:tc>
          <w:tcPr>
            <w:tcW w:type="dxa" w:w="10800"/>
            <w:shd w:fill="FFF8E1" w:val="clear"/>
          </w:tcPr>
          <w:p>
            <w:pPr>
              <w:spacing w:before="40" w:after="40"/>
              <w:jc w:val="center"/>
            </w:pPr>
            <w:r>
              <w:rPr>
                <w:rFonts w:ascii="Calibri" w:hAnsi="Calibri"/>
                <w:b/>
                <w:color w:val="D97706"/>
                <w:sz w:val="20"/>
              </w:rPr>
              <w:t>HOLD</w:t>
            </w:r>
          </w:p>
        </w:tc>
      </w:tr>
    </w:tbl>
    <w:p>
      <w:pPr>
        <w:spacing w:before="120" w:after="200"/>
      </w:pPr>
      <w:r>
        <w:rPr>
          <w:rFonts w:ascii="Calibri" w:hAnsi="Calibri"/>
          <w:b/>
          <w:color w:val="1A2010"/>
          <w:sz w:val="80"/>
        </w:rPr>
        <w:t>60</w:t>
      </w:r>
      <w:r>
        <w:rPr>
          <w:rFonts w:ascii="Calibri" w:hAnsi="Calibri"/>
          <w:b w:val="0"/>
          <w:color w:val="9DAF88"/>
          <w:sz w:val="28"/>
        </w:rPr>
        <w:t xml:space="preserve"> / </w:t>
      </w:r>
      <w:r>
        <w:rPr>
          <w:rFonts w:ascii="Calibri" w:hAnsi="Calibri"/>
          <w:b w:val="0"/>
          <w:color w:val="9DAF88"/>
          <w:sz w:val="24"/>
        </w:rPr>
        <w:t>100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COMPANY PROFILE</w:t>
            </w:r>
          </w:p>
        </w:tc>
      </w:tr>
    </w:tbl>
    <w:p>
      <w:r>
        <w:rPr>
          <w:rFonts w:ascii="Calibri" w:hAnsi="Calibri"/>
          <w:b/>
          <w:color w:val="6E8450"/>
          <w:sz w:val="18"/>
        </w:rPr>
        <w:t>Industrials · Building Products &amp; Equipment · NASDAQ · United States</w:t>
      </w:r>
    </w:p>
    <w:p>
      <w:pPr>
        <w:spacing w:after="80"/>
      </w:pPr>
      <w:r>
        <w:rPr>
          <w:rFonts w:ascii="Calibri" w:hAnsi="Calibri"/>
          <w:b w:val="0"/>
          <w:color w:val="3A4A28"/>
          <w:sz w:val="20"/>
        </w:rPr>
        <w:t>Latham Group is the largest designer, manufacturer, and marketer of in-ground residential swimming pools in North America, Australia, and New Zealand. Products include fiberglass pools, packaged pools, automatic safety covers, all-season covers, and vinyl liners sold through a network of dealers and distributors.</w:t>
      </w:r>
    </w:p>
    <w:p>
      <w:r>
        <w:rPr>
          <w:rFonts w:ascii="Calibri" w:hAnsi="Calibri"/>
          <w:b/>
          <w:color w:val="6E8450"/>
          <w:sz w:val="18"/>
        </w:rPr>
        <w:t>1,804 Employees · https://lathampool.com</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EXCELLENCE EVALUATION — THINK LIKE AN OWNER (50%)</w:t>
            </w:r>
          </w:p>
        </w:tc>
      </w:tr>
    </w:tbl>
    <w:p>
      <w:pPr>
        <w:spacing w:before="200" w:after="40"/>
      </w:pPr>
      <w:r>
        <w:rPr>
          <w:rFonts w:ascii="Calibri" w:hAnsi="Calibri"/>
          <w:b/>
          <w:color w:val="1A2010"/>
          <w:sz w:val="22"/>
        </w:rPr>
        <w:t>Innovation</w:t>
      </w:r>
      <w:r>
        <w:rPr>
          <w:rFonts w:ascii="Calibri" w:hAnsi="Calibri"/>
          <w:b w:val="0"/>
          <w:color w:val="1A2010"/>
          <w:sz w:val="22"/>
        </w:rPr>
        <w:t xml:space="preserve">  </w:t>
      </w:r>
      <w:r>
        <w:rPr>
          <w:rFonts w:ascii="Calibri" w:hAnsi="Calibri"/>
          <w:b/>
          <w:color w:val="B8860B"/>
          <w:sz w:val="16"/>
        </w:rPr>
        <w:t xml:space="preserve"> DEVELOPING </w:t>
      </w:r>
    </w:p>
    <w:p>
      <w:pPr>
        <w:spacing w:before="0" w:after="40"/>
      </w:pPr>
      <w:r>
        <w:rPr>
          <w:rFonts w:ascii="Calibri" w:hAnsi="Calibri"/>
          <w:b/>
          <w:color w:val="B8860B"/>
          <w:sz w:val="28"/>
        </w:rPr>
        <w:t>5</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2756"/>
            <w:shd w:fill="B8860B" w:val="clear"/>
          </w:tcPr>
          <w:p>
            <w:pPr>
              <w:spacing w:before="0" w:after="0"/>
            </w:pPr>
            <w:r>
              <w:rPr>
                <w:rFonts w:ascii="Calibri" w:hAnsi="Calibri"/>
                <w:b w:val="0"/>
                <w:color w:val="1A2010"/>
                <w:sz w:val="4"/>
              </w:rPr>
            </w:r>
          </w:p>
        </w:tc>
        <w:tc>
          <w:tcPr>
            <w:tcW w:type="dxa" w:w="2756"/>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Track Record (2/3): Latham completed the Freedom Pools acquisition (Australia/New Zealand) in February 2026, expanded into Sand States markets, and reversed a multi-year revenue decline to grow 7.4% in 2025 with 2026 guidance of $580-610M (+9% at midpoint) [1]. AI Deployment (0/2): No evidence of AI-powered products or meaningful AI deployment in pool manufacturing operations [2]. Market Share (2/2): Latham is the largest in-ground residential pool manufacturer in North America with dominant fiberglass and autocover positions; the company is outperforming flat U.S. pool starts through market share gains and product mix shift [1]. Pipeline (1/2): 2026 product lineup expansion and Freedom Pools international footprint provide growth visibility, but no next-generation technology products announced with specific revenue targets [1]. R&amp;D Intensity (0/1): Pool manufacturing is not an R&amp;D-intensive industry; innovation is incremental in materials and design rather than technology development [2].</w:t>
      </w:r>
    </w:p>
    <w:p>
      <w:pPr>
        <w:spacing w:before="200" w:after="40"/>
      </w:pPr>
      <w:r>
        <w:rPr>
          <w:rFonts w:ascii="Calibri" w:hAnsi="Calibri"/>
          <w:b/>
          <w:color w:val="1A2010"/>
          <w:sz w:val="22"/>
        </w:rPr>
        <w:t>Inspiration</w:t>
      </w:r>
      <w:r>
        <w:rPr>
          <w:rFonts w:ascii="Calibri" w:hAnsi="Calibri"/>
          <w:b w:val="0"/>
          <w:color w:val="1A2010"/>
          <w:sz w:val="22"/>
        </w:rPr>
        <w:t xml:space="preserve">  </w:t>
      </w:r>
      <w:r>
        <w:rPr>
          <w:rFonts w:ascii="Calibri" w:hAnsi="Calibri"/>
          <w:b/>
          <w:color w:val="B8860B"/>
          <w:sz w:val="16"/>
        </w:rPr>
        <w:t xml:space="preserve"> DEVELOPING </w:t>
      </w:r>
    </w:p>
    <w:p>
      <w:pPr>
        <w:spacing w:before="0" w:after="40"/>
      </w:pPr>
      <w:r>
        <w:rPr>
          <w:rFonts w:ascii="Calibri" w:hAnsi="Calibri"/>
          <w:b/>
          <w:color w:val="B8860B"/>
          <w:sz w:val="28"/>
        </w:rPr>
        <w:t>5</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2756"/>
            <w:shd w:fill="B8860B" w:val="clear"/>
          </w:tcPr>
          <w:p>
            <w:pPr>
              <w:spacing w:before="0" w:after="0"/>
            </w:pPr>
            <w:r>
              <w:rPr>
                <w:rFonts w:ascii="Calibri" w:hAnsi="Calibri"/>
                <w:b w:val="0"/>
                <w:color w:val="1A2010"/>
                <w:sz w:val="4"/>
              </w:rPr>
            </w:r>
          </w:p>
        </w:tc>
        <w:tc>
          <w:tcPr>
            <w:tcW w:type="dxa" w:w="2756"/>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Mission Floor (2/4): Latham's purpose centers on making pool ownership accessible and enjoyable for families, which is clear and customer-focused but not deeply distinctive or inspiring beyond the industry [2]. Community Impact (1/2): ESG report shows 50% reduction in fiberglass production waste, LED efficiency upgrades, and community engagement programs, though specific charitable dollar amounts not cited [3]. Employee Retention (1/2): Latham achieved a 45% reduction in employee turnover since 2021 and 100% ethics/compliance training completion, suggesting improving culture under new leadership [3]. Insider Buying (1/2): New CEO Sean Gadd (January 2026, formerly James Hardie) brings external credibility and likely equity compensation, but no specific insider purchases cited.</w:t>
      </w:r>
    </w:p>
    <w:p>
      <w:pPr>
        <w:spacing w:before="200" w:after="40"/>
      </w:pPr>
      <w:r>
        <w:rPr>
          <w:rFonts w:ascii="Calibri" w:hAnsi="Calibri"/>
          <w:b/>
          <w:color w:val="1A2010"/>
          <w:sz w:val="22"/>
        </w:rPr>
        <w:t>Infrastructure</w:t>
      </w:r>
      <w:r>
        <w:rPr>
          <w:rFonts w:ascii="Calibri" w:hAnsi="Calibri"/>
          <w:b w:val="0"/>
          <w:color w:val="1A2010"/>
          <w:sz w:val="22"/>
        </w:rPr>
        <w:t xml:space="preserve">  </w:t>
      </w:r>
      <w:r>
        <w:rPr>
          <w:rFonts w:ascii="Calibri" w:hAnsi="Calibri"/>
          <w:b/>
          <w:color w:val="B8860B"/>
          <w:sz w:val="16"/>
        </w:rPr>
        <w:t xml:space="preserve"> DEVELOPING </w:t>
      </w:r>
    </w:p>
    <w:p>
      <w:pPr>
        <w:spacing w:before="0" w:after="40"/>
      </w:pPr>
      <w:r>
        <w:rPr>
          <w:rFonts w:ascii="Calibri" w:hAnsi="Calibri"/>
          <w:b/>
          <w:color w:val="B8860B"/>
          <w:sz w:val="28"/>
        </w:rPr>
        <w:t>5</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2756"/>
            <w:shd w:fill="B8860B" w:val="clear"/>
          </w:tcPr>
          <w:p>
            <w:pPr>
              <w:spacing w:before="0" w:after="0"/>
            </w:pPr>
            <w:r>
              <w:rPr>
                <w:rFonts w:ascii="Calibri" w:hAnsi="Calibri"/>
                <w:b w:val="0"/>
                <w:color w:val="1A2010"/>
                <w:sz w:val="4"/>
              </w:rPr>
            </w:r>
          </w:p>
        </w:tc>
        <w:tc>
          <w:tcPr>
            <w:tcW w:type="dxa" w:w="2756"/>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Latham shows improving but still modest financials. 2025 revenue grew 7.4% to $545.9M with adjusted EBITDA of $99.8M (18.3% margin, up 24.4% YoY), and 2026 guidance targets $580-610M revenue [1]. D/E of 77.7% is slightly above the 70% target but manageable. ROE of 2.8% is weak, reflecting thin net margins (2.04% profit margin) after interest and depreciation on acquisition-related debt. Forward P/E of 22x is slightly elevated but reasonable given the growth recovery trajectory. Revenue growth of 14.5% YoY demonstrates acceleration. The key concern is profitability — net income of $11.1M on $546M revenue indicates margin headroom but also vulnerability to cost pressures [1].</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FINITE VS INFINITE GAME — SINEK (25%)</w:t>
            </w:r>
          </w:p>
        </w:tc>
      </w:tr>
    </w:tbl>
    <w:p>
      <w:pPr>
        <w:spacing w:after="40"/>
      </w:pPr>
      <w:r>
        <w:rPr>
          <w:rFonts w:ascii="Calibri" w:hAnsi="Calibri"/>
          <w:b w:val="0"/>
          <w:color w:val="6E8450"/>
          <w:sz w:val="22"/>
        </w:rPr>
        <w:t xml:space="preserve">Mindset: </w:t>
      </w:r>
      <w:r>
        <w:rPr>
          <w:rFonts w:ascii="Calibri" w:hAnsi="Calibri"/>
          <w:b/>
          <w:color w:val="B8860B"/>
          <w:sz w:val="22"/>
        </w:rPr>
        <w:t>MIXED</w:t>
      </w:r>
      <w:r>
        <w:rPr>
          <w:rFonts w:ascii="Calibri" w:hAnsi="Calibri"/>
          <w:b w:val="0"/>
          <w:color w:val="6E8450"/>
          <w:sz w:val="22"/>
        </w:rPr>
        <w:t xml:space="preserve">      Overall: </w:t>
      </w:r>
      <w:r>
        <w:rPr>
          <w:rFonts w:ascii="Calibri" w:hAnsi="Calibri"/>
          <w:b/>
          <w:color w:val="B8860B"/>
          <w:sz w:val="28"/>
        </w:rPr>
        <w:t>6</w:t>
      </w:r>
      <w:r>
        <w:rPr>
          <w:rFonts w:ascii="Calibri" w:hAnsi="Calibri"/>
          <w:b w:val="0"/>
          <w:color w:val="9DAF88"/>
          <w:sz w:val="18"/>
        </w:rPr>
        <w:t xml:space="preserve"> /10</w:t>
      </w:r>
    </w:p>
    <w:p>
      <w:pPr>
        <w:spacing w:after="120"/>
      </w:pPr>
      <w:r>
        <w:rPr>
          <w:rFonts w:ascii="Calibri" w:hAnsi="Calibri"/>
          <w:b w:val="0"/>
          <w:color w:val="3A4A28"/>
          <w:sz w:val="18"/>
        </w:rPr>
        <w:t>Latham Group is a 70-year-old company that has survived multiple housing cycles, demonstrating endurance. Under new CEO Sean Gadd, the company is pivoting toward growth through geographic expansion and fiberglass conversion, showing strategic flexibility. However, as a PE-backed company focused on margin improvement, its orientation tilts toward financial optimization.</w:t>
      </w:r>
    </w:p>
    <w:p>
      <w:pPr>
        <w:spacing w:before="200" w:after="40"/>
      </w:pPr>
      <w:r>
        <w:rPr>
          <w:rFonts w:ascii="Calibri" w:hAnsi="Calibri"/>
          <w:b/>
          <w:color w:val="1A2010"/>
          <w:sz w:val="22"/>
        </w:rPr>
        <w:t>Just Cause</w:t>
      </w:r>
    </w:p>
    <w:p>
      <w:pPr>
        <w:spacing w:before="0" w:after="40"/>
      </w:pPr>
      <w:r>
        <w:rPr>
          <w:rFonts w:ascii="Calibri" w:hAnsi="Calibri"/>
          <w:b/>
          <w:color w:val="DC2626"/>
          <w:sz w:val="28"/>
        </w:rPr>
        <w:t>2</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1102"/>
            <w:shd w:fill="DC2626" w:val="clear"/>
          </w:tcPr>
          <w:p>
            <w:pPr>
              <w:spacing w:before="0" w:after="0"/>
            </w:pPr>
            <w:r>
              <w:rPr>
                <w:rFonts w:ascii="Calibri" w:hAnsi="Calibri"/>
                <w:b w:val="0"/>
                <w:color w:val="1A2010"/>
                <w:sz w:val="4"/>
              </w:rPr>
            </w:r>
          </w:p>
        </w:tc>
        <w:tc>
          <w:tcPr>
            <w:tcW w:type="dxa" w:w="4409"/>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Latham's purpose centers on making in-ground pool ownership accessible through fiberglass innovation and dealer partnerships [1]. Founded in 1956 with 70 years of continuous operation, the company has persisted through multiple housing downturns, though the purpose is functional rather than transcendent. The focus on growing fiberglass penetration (vs concrete) provides a genuine 'better way' narrative.</w:t>
      </w:r>
    </w:p>
    <w:p>
      <w:pPr>
        <w:spacing w:before="200" w:after="40"/>
      </w:pPr>
      <w:r>
        <w:rPr>
          <w:rFonts w:ascii="Calibri" w:hAnsi="Calibri"/>
          <w:b/>
          <w:color w:val="1A2010"/>
          <w:sz w:val="22"/>
        </w:rPr>
        <w:t>Trusting Teams</w:t>
      </w:r>
    </w:p>
    <w:p>
      <w:pPr>
        <w:spacing w:before="0" w:after="40"/>
      </w:pPr>
      <w:r>
        <w:rPr>
          <w:rFonts w:ascii="Calibri" w:hAnsi="Calibri"/>
          <w:b/>
          <w:color w:val="DC2626"/>
          <w:sz w:val="28"/>
        </w:rPr>
        <w:t>1</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551"/>
            <w:shd w:fill="DC2626" w:val="clear"/>
          </w:tcPr>
          <w:p>
            <w:pPr>
              <w:spacing w:before="0" w:after="0"/>
            </w:pPr>
            <w:r>
              <w:rPr>
                <w:rFonts w:ascii="Calibri" w:hAnsi="Calibri"/>
                <w:b w:val="0"/>
                <w:color w:val="1A2010"/>
                <w:sz w:val="4"/>
              </w:rPr>
            </w:r>
          </w:p>
        </w:tc>
        <w:tc>
          <w:tcPr>
            <w:tcW w:type="dxa" w:w="4961"/>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The 45% reduction in employee turnover since 2021 suggests meaningful culture improvement [3]. New CEO Sean Gadd (from James Hardie, January 2026) and the 2026 product lineup refresh demonstrate organizational adaptability. However, the company has undergone significant leadership transition, which creates uncertainty about long-term culture stability.</w:t>
      </w:r>
    </w:p>
    <w:p>
      <w:pPr>
        <w:spacing w:before="200" w:after="40"/>
      </w:pPr>
      <w:r>
        <w:rPr>
          <w:rFonts w:ascii="Calibri" w:hAnsi="Calibri"/>
          <w:b/>
          <w:color w:val="1A2010"/>
          <w:sz w:val="22"/>
        </w:rPr>
        <w:t>Worthy Rivals</w:t>
      </w:r>
    </w:p>
    <w:p>
      <w:pPr>
        <w:spacing w:before="0" w:after="40"/>
      </w:pPr>
      <w:r>
        <w:rPr>
          <w:rFonts w:ascii="Calibri" w:hAnsi="Calibri"/>
          <w:b/>
          <w:color w:val="DC2626"/>
          <w:sz w:val="28"/>
        </w:rPr>
        <w:t>1</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551"/>
            <w:shd w:fill="DC2626" w:val="clear"/>
          </w:tcPr>
          <w:p>
            <w:pPr>
              <w:spacing w:before="0" w:after="0"/>
            </w:pPr>
            <w:r>
              <w:rPr>
                <w:rFonts w:ascii="Calibri" w:hAnsi="Calibri"/>
                <w:b w:val="0"/>
                <w:color w:val="1A2010"/>
                <w:sz w:val="4"/>
              </w:rPr>
            </w:r>
          </w:p>
        </w:tc>
        <w:tc>
          <w:tcPr>
            <w:tcW w:type="dxa" w:w="4961"/>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Latham competes against concrete pool builders, vinyl liner manufacturers, and regional fiberglass producers. The company's strategy of growing fiberglass penetration (currently low teens % of U.S. pool market) positions competition as an industry education challenge rather than zero-sum warfare — the rival is concrete, not other pool companies [1].</w:t>
      </w:r>
    </w:p>
    <w:p>
      <w:pPr>
        <w:spacing w:before="200" w:after="40"/>
      </w:pPr>
      <w:r>
        <w:rPr>
          <w:rFonts w:ascii="Calibri" w:hAnsi="Calibri"/>
          <w:b/>
          <w:color w:val="1A2010"/>
          <w:sz w:val="22"/>
        </w:rPr>
        <w:t>Existential Flexibility</w:t>
      </w:r>
    </w:p>
    <w:p>
      <w:pPr>
        <w:spacing w:before="0" w:after="40"/>
      </w:pPr>
      <w:r>
        <w:rPr>
          <w:rFonts w:ascii="Calibri" w:hAnsi="Calibri"/>
          <w:b/>
          <w:color w:val="DC2626"/>
          <w:sz w:val="28"/>
        </w:rPr>
        <w:t>1</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551"/>
            <w:shd w:fill="DC2626" w:val="clear"/>
          </w:tcPr>
          <w:p>
            <w:pPr>
              <w:spacing w:before="0" w:after="0"/>
            </w:pPr>
            <w:r>
              <w:rPr>
                <w:rFonts w:ascii="Calibri" w:hAnsi="Calibri"/>
                <w:b w:val="0"/>
                <w:color w:val="1A2010"/>
                <w:sz w:val="4"/>
              </w:rPr>
            </w:r>
          </w:p>
        </w:tc>
        <w:tc>
          <w:tcPr>
            <w:tcW w:type="dxa" w:w="4961"/>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The Freedom Pools acquisition (February 2026) represents geographic expansion into Australia/New Zealand — a meaningful strategic evolution from a U.S.-focused manufacturer [1]. The company has also pivoted from liner-only heritage to embrace fiberglass as the primary growth engine, demonstrating willingness to cannibalize legacy products.</w:t>
      </w:r>
    </w:p>
    <w:p>
      <w:pPr>
        <w:spacing w:before="200" w:after="40"/>
      </w:pPr>
      <w:r>
        <w:rPr>
          <w:rFonts w:ascii="Calibri" w:hAnsi="Calibri"/>
          <w:b/>
          <w:color w:val="1A2010"/>
          <w:sz w:val="22"/>
        </w:rPr>
        <w:t>Courage To Lead</w:t>
      </w:r>
    </w:p>
    <w:p>
      <w:pPr>
        <w:spacing w:before="0" w:after="40"/>
      </w:pPr>
      <w:r>
        <w:rPr>
          <w:rFonts w:ascii="Calibri" w:hAnsi="Calibri"/>
          <w:b/>
          <w:color w:val="DC2626"/>
          <w:sz w:val="28"/>
        </w:rPr>
        <w:t>1</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551"/>
            <w:shd w:fill="DC2626" w:val="clear"/>
          </w:tcPr>
          <w:p>
            <w:pPr>
              <w:spacing w:before="0" w:after="0"/>
            </w:pPr>
            <w:r>
              <w:rPr>
                <w:rFonts w:ascii="Calibri" w:hAnsi="Calibri"/>
                <w:b w:val="0"/>
                <w:color w:val="1A2010"/>
                <w:sz w:val="4"/>
              </w:rPr>
            </w:r>
          </w:p>
        </w:tc>
        <w:tc>
          <w:tcPr>
            <w:tcW w:type="dxa" w:w="4961"/>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Latham guided 9% revenue growth for 2026 despite projecting flat U.S. pool starts, demonstrating confidence in market share gains over market dependence [1]. Investing $42-48M in capex during a period of housing uncertainty shows commitment to capacity expansion. The Freedom Pools acquisition during soft markets indicates counter-cyclical investment conviction.</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INVESTMENT THESIS</w:t>
            </w:r>
          </w:p>
        </w:tc>
      </w:tr>
    </w:tbl>
    <w:p>
      <w:pPr>
        <w:spacing w:after="120"/>
      </w:pPr>
      <w:r>
        <w:rPr>
          <w:rFonts w:ascii="Calibri" w:hAnsi="Calibri"/>
          <w:b w:val="0"/>
          <w:color w:val="3A4A28"/>
          <w:sz w:val="20"/>
        </w:rPr>
        <w:t>Latham Group is the dominant in-ground pool manufacturer in North America executing a growth recovery after the 2022-2023 housing downturn. 2025 revenue grew 7.4% to $546M with adjusted EBITDA surging 24.4% to $99.8M (18.3% margin), and 2026 guidance of $580-610M (+9%) demonstrates sustained momentum driven by fiberglass market share gains and Sand States expansion [1]. The Freedom Pools acquisition adds $20M in revenue and international diversification. At $5.80/share with $678M market cap, the stock trades at 22x forward earnings on an earnings-recovery trajectory. The fiberglass pool category has significant runway (low-teens penetration vs concrete) providing a multi-year secular growth tailwind that is independent of new pool starts [1].</w:t>
      </w:r>
    </w:p>
    <w:p>
      <w:pPr>
        <w:spacing w:after="120"/>
      </w:pPr>
      <w:r>
        <w:rPr>
          <w:rFonts w:ascii="Calibri" w:hAnsi="Calibri"/>
          <w:b w:val="0"/>
          <w:color w:val="3A4A28"/>
          <w:sz w:val="20"/>
        </w:rPr>
        <w:t>The bear case centers on housing cyclicality and profitability concerns. Trailing P/E of 64x and profit margin of only 2% highlight that current earnings are still depressed from the downturn cycle — any stall in the recovery would make the valuation appear expensive [1]. ROE of 2.8% is far below cost of capital, indicating the business has not yet earned its way back to adequate returns on the PE-originated debt load (D/E 78%). The 5-year revenue CAGR is approximately flat, meaning the company has not yet demonstrated it can grow sustainably above pre-IPO levels. U.S. pool starts remain near cyclical lows, and rising interest rates could further suppress new construction demand. Competition from local concrete builders and new fiberglass entrants could compress margins as the category grows. The stock has declined from its 2021 IPO price of $19, reflecting persistent market skepticism about the growth story [1].</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KEY CATALYSTS</w:t>
            </w:r>
          </w:p>
        </w:tc>
      </w:tr>
    </w:tbl>
    <w:p>
      <w:pPr>
        <w:spacing w:before="40" w:after="40"/>
        <w:ind w:left="283"/>
      </w:pPr>
      <w:r>
        <w:rPr>
          <w:rFonts w:ascii="Calibri" w:hAnsi="Calibri"/>
          <w:b/>
          <w:color w:val="4A6B25"/>
          <w:sz w:val="20"/>
        </w:rPr>
        <w:t xml:space="preserve">1. </w:t>
      </w:r>
      <w:r>
        <w:rPr>
          <w:rFonts w:ascii="Calibri" w:hAnsi="Calibri"/>
          <w:b w:val="0"/>
          <w:color w:val="3A4A28"/>
          <w:sz w:val="20"/>
        </w:rPr>
        <w:t>Fiberglass pool market share gains in Sand States (Arizona, Texas, Florida) where fiberglass penetration is lowest and conversion opportunity is greatest [1]</w:t>
      </w:r>
    </w:p>
    <w:p>
      <w:pPr>
        <w:spacing w:before="40" w:after="40"/>
        <w:ind w:left="283"/>
      </w:pPr>
      <w:r>
        <w:rPr>
          <w:rFonts w:ascii="Calibri" w:hAnsi="Calibri"/>
          <w:b/>
          <w:color w:val="4A6B25"/>
          <w:sz w:val="20"/>
        </w:rPr>
        <w:t xml:space="preserve">2. </w:t>
      </w:r>
      <w:r>
        <w:rPr>
          <w:rFonts w:ascii="Calibri" w:hAnsi="Calibri"/>
          <w:b w:val="0"/>
          <w:color w:val="3A4A28"/>
          <w:sz w:val="20"/>
        </w:rPr>
        <w:t>Freedom Pools acquisition (February 2026) adding $20M revenue and $4M EBITDA with accretion before synergies, expanding addressable market internationally [1]</w:t>
      </w:r>
    </w:p>
    <w:p>
      <w:pPr>
        <w:spacing w:before="40" w:after="40"/>
        <w:ind w:left="283"/>
      </w:pPr>
      <w:r>
        <w:rPr>
          <w:rFonts w:ascii="Calibri" w:hAnsi="Calibri"/>
          <w:b/>
          <w:color w:val="4A6B25"/>
          <w:sz w:val="20"/>
        </w:rPr>
        <w:t xml:space="preserve">3. </w:t>
      </w:r>
      <w:r>
        <w:rPr>
          <w:rFonts w:ascii="Calibri" w:hAnsi="Calibri"/>
          <w:b w:val="0"/>
          <w:color w:val="3A4A28"/>
          <w:sz w:val="20"/>
        </w:rPr>
        <w:t>Adjusted EBITDA margin expansion from 18.3% toward 20%+ as volume leverage and manufacturing efficiency gains flow through fixed-cost infrastructure [1]</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DC2626"/>
            </w:tcBorders>
          </w:tcPr>
          <w:p>
            <w:pPr>
              <w:spacing w:before="240" w:after="80"/>
            </w:pPr>
            <w:r>
              <w:rPr>
                <w:rFonts w:ascii="Calibri" w:hAnsi="Calibri"/>
                <w:b/>
                <w:color w:val="6E8450"/>
                <w:sz w:val="17"/>
              </w:rPr>
              <w:t>KEY RISKS</w:t>
            </w:r>
          </w:p>
        </w:tc>
      </w:tr>
    </w:tbl>
    <w:p>
      <w:pPr>
        <w:spacing w:before="40" w:after="40"/>
        <w:ind w:left="283"/>
      </w:pPr>
      <w:r>
        <w:rPr>
          <w:rFonts w:ascii="Calibri" w:hAnsi="Calibri"/>
          <w:b/>
          <w:color w:val="4A6B25"/>
          <w:sz w:val="20"/>
        </w:rPr>
        <w:t xml:space="preserve">1. </w:t>
      </w:r>
      <w:r>
        <w:rPr>
          <w:rFonts w:ascii="Calibri" w:hAnsi="Calibri"/>
          <w:b w:val="0"/>
          <w:color w:val="3A4A28"/>
          <w:sz w:val="20"/>
        </w:rPr>
        <w:t>Housing cyclicality — U.S. pool starts remain near cyclical lows and rising interest rates could further suppress new construction demand, delaying revenue recovery [1]</w:t>
      </w:r>
    </w:p>
    <w:p>
      <w:pPr>
        <w:spacing w:before="40" w:after="40"/>
        <w:ind w:left="283"/>
      </w:pPr>
      <w:r>
        <w:rPr>
          <w:rFonts w:ascii="Calibri" w:hAnsi="Calibri"/>
          <w:b/>
          <w:color w:val="4A6B25"/>
          <w:sz w:val="20"/>
        </w:rPr>
        <w:t xml:space="preserve">2. </w:t>
      </w:r>
      <w:r>
        <w:rPr>
          <w:rFonts w:ascii="Calibri" w:hAnsi="Calibri"/>
          <w:b w:val="0"/>
          <w:color w:val="3A4A28"/>
          <w:sz w:val="20"/>
        </w:rPr>
        <w:t>Weak profitability with 2% net margin and 2.8% ROE indicating the debt-heavy capital structure has not yet been de-leveraged sufficiently to generate adequate shareholder returns [1]</w:t>
      </w:r>
    </w:p>
    <w:p>
      <w:pPr>
        <w:spacing w:before="40" w:after="40"/>
        <w:ind w:left="283"/>
      </w:pPr>
      <w:r>
        <w:rPr>
          <w:rFonts w:ascii="Calibri" w:hAnsi="Calibri"/>
          <w:b/>
          <w:color w:val="4A6B25"/>
          <w:sz w:val="20"/>
        </w:rPr>
        <w:t xml:space="preserve">3. </w:t>
      </w:r>
      <w:r>
        <w:rPr>
          <w:rFonts w:ascii="Calibri" w:hAnsi="Calibri"/>
          <w:b w:val="0"/>
          <w:color w:val="3A4A28"/>
          <w:sz w:val="20"/>
        </w:rPr>
        <w:t>New CEO transition risk — Sean Gadd joined January 2026 from James Hardie, creating execution uncertainty during a critical growth recovery period [2]</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AI RESILIENCE (25%)</w:t>
            </w:r>
          </w:p>
        </w:tc>
      </w:tr>
    </w:tbl>
    <w:p>
      <w:pPr>
        <w:spacing w:before="200" w:after="40"/>
      </w:pPr>
      <w:r>
        <w:rPr>
          <w:rFonts w:ascii="Calibri" w:hAnsi="Calibri"/>
          <w:b/>
          <w:color w:val="1A2010"/>
          <w:sz w:val="22"/>
        </w:rPr>
        <w:t>AI Resilience</w:t>
      </w:r>
      <w:r>
        <w:rPr>
          <w:rFonts w:ascii="Calibri" w:hAnsi="Calibri"/>
          <w:b w:val="0"/>
          <w:color w:val="1A2010"/>
          <w:sz w:val="22"/>
        </w:rPr>
        <w:t xml:space="preserve">  </w:t>
      </w:r>
      <w:r>
        <w:rPr>
          <w:rFonts w:ascii="Calibri" w:hAnsi="Calibri"/>
          <w:b/>
          <w:color w:val="16A34A"/>
          <w:sz w:val="16"/>
        </w:rPr>
        <w:t xml:space="preserve"> LOW RISK </w:t>
      </w:r>
    </w:p>
    <w:p>
      <w:pPr>
        <w:spacing w:before="0" w:after="40"/>
      </w:pPr>
      <w:r>
        <w:rPr>
          <w:rFonts w:ascii="Calibri" w:hAnsi="Calibri"/>
          <w:b/>
          <w:color w:val="16A34A"/>
          <w:sz w:val="28"/>
        </w:rPr>
        <w:t>8</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4409"/>
            <w:shd w:fill="16A34A" w:val="clear"/>
          </w:tcPr>
          <w:p>
            <w:pPr>
              <w:spacing w:before="0" w:after="0"/>
            </w:pPr>
            <w:r>
              <w:rPr>
                <w:rFonts w:ascii="Calibri" w:hAnsi="Calibri"/>
                <w:b w:val="0"/>
                <w:color w:val="1A2010"/>
                <w:sz w:val="4"/>
              </w:rPr>
            </w:r>
          </w:p>
        </w:tc>
        <w:tc>
          <w:tcPr>
            <w:tcW w:type="dxa" w:w="1102"/>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AI Risk Protection (8/9): Pool manufacturing and installation is an inherently physical-world business that AI structurally cannot displace [1]. Fiberglass pools require factories, molds, transportation logistics, and local dealer relationships — none of which are threatened by AI. The construction and home improvement industry has minimal AI substitution risk. Latham's dealer network, manufacturing scale, and brand relationships create moats that are reinforced by physical infrastructure. AI Opportunity (0/1): No meaningful AI revenue; AI may provide incremental benefits in manufacturing optimization or customer design tools but is not a revenue driver [2].</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FAITH ALIGNMENT — INSPIRE INSIGHT</w:t>
            </w:r>
          </w:p>
        </w:tc>
      </w:tr>
    </w:tbl>
    <w:p>
      <w:pPr>
        <w:spacing w:after="40"/>
      </w:pPr>
      <w:r>
        <w:rPr>
          <w:rFonts w:ascii="Calibri" w:hAnsi="Calibri"/>
          <w:b w:val="0"/>
          <w:color w:val="6E8450"/>
          <w:sz w:val="22"/>
        </w:rPr>
        <w:t xml:space="preserve">Inspire Impact Score:  </w:t>
      </w:r>
      <w:r>
        <w:rPr>
          <w:rFonts w:ascii="Calibri" w:hAnsi="Calibri"/>
          <w:b/>
          <w:color w:val="16A34A"/>
          <w:sz w:val="28"/>
        </w:rPr>
        <w:t>49</w:t>
      </w:r>
      <w:r>
        <w:rPr>
          <w:rFonts w:ascii="Calibri" w:hAnsi="Calibri"/>
          <w:b/>
          <w:color w:val="B8860B"/>
          <w:sz w:val="20"/>
        </w:rPr>
        <w:t xml:space="preserve">    ALIGNED</w:t>
      </w:r>
    </w:p>
    <w:p>
      <w:pPr>
        <w:spacing w:before="80" w:after="40"/>
      </w:pPr>
      <w:r>
        <w:rPr>
          <w:rFonts w:ascii="Calibri" w:hAnsi="Calibri"/>
          <w:b/>
          <w:color w:val="6E8450"/>
          <w:sz w:val="18"/>
        </w:rPr>
        <w:t xml:space="preserve">Positive: </w:t>
      </w:r>
      <w:r>
        <w:rPr>
          <w:rFonts w:ascii="Calibri" w:hAnsi="Calibri"/>
          <w:b/>
          <w:color w:val="16A34A"/>
          <w:sz w:val="17"/>
        </w:rPr>
        <w:t xml:space="preserve"> Energy Management </w:t>
      </w:r>
      <w:r>
        <w:rPr>
          <w:rFonts w:ascii="Calibri" w:hAnsi="Calibri"/>
          <w:b w:val="0"/>
          <w:color w:val="9DAF88"/>
          <w:sz w:val="17"/>
        </w:rPr>
        <w:t xml:space="preserve">  ·  </w:t>
      </w:r>
      <w:r>
        <w:rPr>
          <w:rFonts w:ascii="Calibri" w:hAnsi="Calibri"/>
          <w:b/>
          <w:color w:val="16A34A"/>
          <w:sz w:val="17"/>
        </w:rPr>
        <w:t xml:space="preserve"> Ethical Supply Chain Management </w:t>
      </w:r>
      <w:r>
        <w:rPr>
          <w:rFonts w:ascii="Calibri" w:hAnsi="Calibri"/>
          <w:b w:val="0"/>
          <w:color w:val="9DAF88"/>
          <w:sz w:val="17"/>
        </w:rPr>
        <w:t xml:space="preserve">  ·  </w:t>
      </w:r>
      <w:r>
        <w:rPr>
          <w:rFonts w:ascii="Calibri" w:hAnsi="Calibri"/>
          <w:b/>
          <w:color w:val="16A34A"/>
          <w:sz w:val="17"/>
        </w:rPr>
        <w:t xml:space="preserve"> Materials Efficiency </w:t>
      </w:r>
    </w:p>
    <w:p>
      <w:pPr>
        <w:spacing w:before="120"/>
      </w:pPr>
      <w:r>
        <w:rPr>
          <w:rFonts w:ascii="Calibri" w:hAnsi="Calibri"/>
          <w:b w:val="0"/>
          <w:color w:val="9DAF88"/>
          <w:sz w:val="15"/>
        </w:rPr>
        <w:t>Source: Inspire Insight</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RESOURCES</w:t>
            </w:r>
          </w:p>
        </w:tc>
      </w:tr>
    </w:tbl>
    <w:p>
      <w:pPr>
        <w:spacing w:before="20" w:after="20"/>
        <w:ind w:left="170"/>
      </w:pPr>
      <w:r>
        <w:rPr>
          <w:rFonts w:ascii="Calibri" w:hAnsi="Calibri"/>
          <w:b/>
          <w:color w:val="4A6B25"/>
          <w:sz w:val="15"/>
        </w:rPr>
        <w:t xml:space="preserve">1. </w:t>
      </w:r>
      <w:r>
        <w:rPr>
          <w:rFonts w:ascii="Calibri" w:hAnsi="Calibri"/>
          <w:b w:val="0"/>
          <w:color w:val="3A4A28"/>
          <w:sz w:val="17"/>
        </w:rPr>
        <w:t>Latham Group Q4/FY2025 Results and 2026 Guidance ��� Revenue $545.9M (+7.4%), Adj EBITDA $99.8M (+24.4%), 2026 guidance $580-610M; GlobeNewsWire and Seeking Alpha, March 2026</w:t>
      </w:r>
    </w:p>
    <w:p>
      <w:pPr>
        <w:spacing w:before="20" w:after="20"/>
        <w:ind w:left="170"/>
      </w:pPr>
      <w:r>
        <w:rPr>
          <w:rFonts w:ascii="Calibri" w:hAnsi="Calibri"/>
          <w:b/>
          <w:color w:val="4A6B25"/>
          <w:sz w:val="15"/>
        </w:rPr>
        <w:t xml:space="preserve">2. </w:t>
      </w:r>
      <w:r>
        <w:rPr>
          <w:rFonts w:ascii="Calibri" w:hAnsi="Calibri"/>
          <w:b w:val="0"/>
          <w:color w:val="3A4A28"/>
          <w:sz w:val="17"/>
        </w:rPr>
        <w:t>Latham Group Corporate — New CEO Sean Gadd (January 2026), Freedom Pools acquisition (February 2026), management team; IR website and financial news, 2026</w:t>
      </w:r>
    </w:p>
    <w:p>
      <w:pPr>
        <w:spacing w:before="20" w:after="20"/>
        <w:ind w:left="170"/>
      </w:pPr>
      <w:r>
        <w:rPr>
          <w:rFonts w:ascii="Calibri" w:hAnsi="Calibri"/>
          <w:b/>
          <w:color w:val="4A6B25"/>
          <w:sz w:val="15"/>
        </w:rPr>
        <w:t xml:space="preserve">3. </w:t>
      </w:r>
      <w:r>
        <w:rPr>
          <w:rFonts w:ascii="Calibri" w:hAnsi="Calibri"/>
          <w:b w:val="0"/>
          <w:color w:val="3A4A28"/>
          <w:sz w:val="17"/>
        </w:rPr>
        <w:t>Latham Group ESG Report 2023 — 50% waste reduction, 45% turnover reduction, LED efficiency, ethics training; ir.lathampool.com</w:t>
      </w:r>
    </w:p>
    <w:p>
      <w:pPr>
        <w:spacing w:before="400"/>
        <w:jc w:val="center"/>
      </w:pPr>
      <w:r>
        <w:rPr>
          <w:rFonts w:ascii="Calibri" w:hAnsi="Calibri"/>
          <w:b w:val="0"/>
          <w:color w:val="9DAF88"/>
          <w:sz w:val="16"/>
        </w:rPr>
        <w:t>Paradiem, LLC dba Intentional Ownership (“IOWN”) is a registered investment advisor. The information provided is for educational and informational purposes only and does not constitute investment advice.</w:t>
      </w:r>
    </w:p>
    <w:sectPr w:rsidR="00FC693F" w:rsidRPr="0006063C" w:rsidSect="00034616">
      <w:pgSz w:w="12240" w:h="15840"/>
      <w:pgMar w:top="720" w:right="720" w:bottom="720" w:left="72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