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SWK</w:t>
      </w:r>
      <w:r>
        <w:rPr>
          <w:rFonts w:ascii="Calibri" w:hAnsi="Calibri"/>
          <w:b/>
          <w:color w:val="1A2010"/>
          <w:sz w:val="40"/>
        </w:rPr>
        <w:t xml:space="preserve">  Stanley Black &amp; Decker, Inc.</w:t>
      </w:r>
    </w:p>
    <w:p>
      <w:pPr>
        <w:spacing w:after="120"/>
      </w:pPr>
      <w:r>
        <w:rPr>
          <w:rFonts w:ascii="Calibri" w:hAnsi="Calibri"/>
          <w:b/>
          <w:color w:val="6E8450"/>
          <w:sz w:val="18"/>
        </w:rPr>
        <w:t>DIVIDEND SLEEVE · 2026-04-21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Stanley Black &amp; Decker is a global leader in tools, outdoor products, and industrial equipment, operating through Tools &amp; Outdoor and Industrial segments. The company's iconic brands include DEWALT, CRAFTSMAN, Stanley, BLACK+DECKER, CUB CADET, and HUSTLER. Founded in 1843 and headquartered in New Britain, Connecticut, the company generated $15.1B in 2025 revenue and is a Dividend Aristocrat with 58 consecutive years of dividend increases.</w:t>
      </w:r>
    </w:p>
    <w:p>
      <w:r>
        <w:rPr>
          <w:rFonts w:ascii="Calibri" w:hAnsi="Calibri"/>
          <w:b/>
          <w:color w:val="6E8450"/>
          <w:sz w:val="18"/>
        </w:rPr>
        <w:t>43,500 Employees · https://www.stanleyblackanddecker.com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SWK has not launched transformative new products in the last 5 years — the business largely reflects the same DEWALT/CRAFTSMAN/Stanley portfolio, and revenue has declined from $16.9B (2022) to $15.1B (2025), indicating contraction rather than innovation-driven growth [1]. The transition of gas-powered outdoor products to a licensing model represents portfolio rationalization, not innovation. AI Deployment (1/2): CTO Mark Maybury leads AI deployment including robotic process automation, virtual assistants, and Industry 4.0 applications across procurement, pricing, and organizational efficiency — these are quantifiable internal deployments though not customer-facing AI products [3]. Market Share (1/2): SWK remains a global leader in professional and consumer tools through DEWALT and CRAFTSMAN brands, with dominant shelf space at major retailers, though market share has been flat amid revenue declines [1]. Pipeline (1/2): 2026 guidance projects low single-digit organic revenue growth with 150bps of gross margin expansion, plus the Outdoor licensing transition expected to reduce revenue by $120-140M but improve margins [1]. R&amp;D Intensity (1/1): SWK invests meaningfully in R&amp;D relative to industrial peers, with dedicated innovation centers and CTO-led technology strategy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SWK's purpose — 'For those who make the world' — is specific, inspirational, and connects the company's work to the builders and tradespeople who construct society [4]. The company's 2030 ESG targets (enable 10M makers, enhance lives of 500M people, carbon positive operations) are tied to UN Sustainable Development Goals, showing genuine intentionality beyond profit [4]. However, the purpose hasn't been tested through the kind of transformative crisis that validates a 4-point mission. Community Impact (1/2): SWK's ESG report 'A Force for Good' includes 2030 targets for 10 million creators/makers enabled and carbon positive operations [4]. The company has a long-standing commitment to community impact and supports trades education programs. Employee Retention (1/2): Glassdoor Senior Management rating of 3.3/5 and 77% CEO approval under former leadership suggest adequate but not exceptional employee engagement [3]. The leadership transition to Christopher Nelson as CEO (October 2025) introduces some uncertainty. Insider Buying (1/2): Donald Allan Jr.'s transition to Executive Chairman maintains continuity, and management's confidence in 2026 guidance despite tariff headwinds suggests alignment, though no specific insider purchasing data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SWK's financial profile shows a Dividend Aristocrat under margin pressure. D/E of 70.0% is right at the 70% target, scoring 1.0 [2]. Forward P/E of 12.3x is attractive, scoring 1.0 [2]. However, ROE of just 4.5% significantly underperforms the 15% target, scoring 0.30 [2]. Revenue has declined 3 consecutive years ($16.9B to $15.1B), yielding a 5yr CAGR of approximately -3.7%, scoring 0.09 [2]. Profit margin of 2.7% is depressed by restructuring costs and tariff impacts, scoring 0.13 [2]. The payout ratio of 124.5% exceeds the 100% floor, scoring 0 — dividends currently exceed earnings [2]. Offsetting these weaknesses: 58 consecutive years of dividend increases (1.0) and consistent payment history (1.0). 5yr dividend growth CAGR of 3.5% scores 0.58 [2]. Liquidity floor easily cleared at $150.8M daily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Stanley Black &amp; Decker exhibits strong infinite game characteristics rooted in its 183-year history, iconic brands, and 58-year dividend growth streak. The company's purpose — 'For those who make the world' — authentically connects its products to the builders and tradespeople who construct society. However, three years of declining revenue and a leadership transition introduce finite pressures that test whether the company can maintain its long-term orientation during a turnaround.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 those who make the world' is a genuine, distinctive purpose that connects SWK's tools business to the builders, tradespeople, and makers who literally construct civilization (2/3 pts). The 183-year operating history since 1843 provides extraordinary validation — few companies have sustained a coherent purpose across multiple industrial revolutions. The 2030 ESG commitment to enable 10 million makers adds depth [4]. Falls short of 3 points because the company's recent strategic focus on cost-cutting and restructuring has not been clearly traced back to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senior management rating of 3.3/5 and 77% CEO approval suggest adequate organizational trust (1/2 pts) [3]. The leadership transition from Donald Allan to Christopher Nelson (October 2025) was planned and orderly, with Allan remaining as Executive Chairman, demonstrating institutional continuity. Former CEO James Loree noted SWK became 'a magnet for digital talent,' though the recent cost-cutting environment may have impacted this.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SWK demonstrates an infinite competitive mindset through its 'activist culture' philosophy — leadership has explicitly stated the goal of 'disrupting itself before someone disrupts them,' which reflects a self-improvement orientation rather than a competitor-destruction mentality (1/1 pt) [3]. The company acknowledges competitive dynamics across tools (Milwaukee/TTI, Bosch) and uses them as motivation for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SWK has incrementally evolved over its 183-year history — from hand tools to power tools, from domestic to global, and from manufacturing to a brand portfolio company through acquisitions (Black &amp; Decker 2010, Craftsman 2017, outdoor products). The transition of gas outdoor products to a licensing model shows willingness to exit businesses (1/2 pts) [1]. However, these were evolutionary steps rather than the dramatic 'blow up your own business' pivots Sinek values.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SWK has maintained its dividend increases for 58 consecutive years, including through the 2023 net loss year when payout ratio exceeded 100% — prioritizing the long-term commitment to income shareholders over short-term financial optics (1/2 pts) [2]. The ongoing supply chain transformation and $2B+ cost reduction program show willingness to invest in long-term capability. However, the tariff-era response appears reactive rather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Stanley Black &amp; Decker is a 183-year-old industrial icon and Dividend Aristocrat (58 consecutive years of increases) trading at a depressed 12.3x forward P/E during a multi-year turnaround [1]. The company's 2026 guidance projects low single-digit organic revenue growth, 150bps gross margin expansion, and adjusted EPS of $4.90-$5.70 (13% growth at midpoint), signaling the early stages of margin recovery after three years of restructuring [1]. The DEWALT, CRAFTSMAN, and Stanley brands command pricing power and retail shelf dominance that creates a durable competitive moat. Management has confirmed that Section 232 tariff changes will not materially impact 2026 guidance, reducing a key overhang [1]. At $75.12 with a 4.42% dividend yield, the stock offers income investors an attractive entry point during cyclical weakness.</w:t>
      </w:r>
    </w:p>
    <w:p>
      <w:pPr>
        <w:spacing w:after="120"/>
      </w:pPr>
      <w:r>
        <w:rPr>
          <w:rFonts w:ascii="Calibri" w:hAnsi="Calibri"/>
          <w:b w:val="0"/>
          <w:color w:val="3A4A28"/>
          <w:sz w:val="20"/>
        </w:rPr>
        <w:t>The bear case centers on structural margin deterioration and revenue decline. Revenue has shrunk from $16.9B (2022) to $15.1B (2025), a 10.7% decline over three years, and the gas outdoor licensing transition will reduce 2026 revenue by another $120-140M [1]. Profit margin of just 2.66% and payout ratio of 124.5% mean the dividend currently exceeds earnings — an unsustainable situation that depends entirely on the margin recovery materializing [2]. ROE of 4.5% suggests the company is destroying economic value at its current profitability level. The leadership transition to new CEO Christopher Nelson introduces execution uncertainty during a critical turnaround phase. Housing market weakness and construction spending volatility directly impact tool demand, and tariff exposure (despite management's reassurance) creates ongoing cost uncertainty for a global manufacturer with significant Asian supply chain exposure [1]. Free cash flow of $855M supports the dividend for now, but a prolonged revenue decline could force a cut that would devastate the Aristocrat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expansion of 150bps in 2026 with second-half margins reaching 34-35%, driven by supply chain transformation and $2B+ cost reduction program [1]</w:t>
      </w:r>
    </w:p>
    <w:p>
      <w:pPr>
        <w:spacing w:before="40" w:after="40"/>
        <w:ind w:left="283"/>
      </w:pPr>
      <w:r>
        <w:rPr>
          <w:rFonts w:ascii="Calibri" w:hAnsi="Calibri"/>
          <w:b/>
          <w:color w:val="4A6B25"/>
          <w:sz w:val="20"/>
        </w:rPr>
        <w:t xml:space="preserve">2. </w:t>
      </w:r>
      <w:r>
        <w:rPr>
          <w:rFonts w:ascii="Calibri" w:hAnsi="Calibri"/>
          <w:b w:val="0"/>
          <w:color w:val="3A4A28"/>
          <w:sz w:val="20"/>
        </w:rPr>
        <w:t>Adjusted EPS growth of 13% at midpoint ($4.90-$5.70) demonstrating earnings recovery from the 2023 trough, potentially restoring confidence in the dividend sustainability [1]</w:t>
      </w:r>
    </w:p>
    <w:p>
      <w:pPr>
        <w:spacing w:before="40" w:after="40"/>
        <w:ind w:left="283"/>
      </w:pPr>
      <w:r>
        <w:rPr>
          <w:rFonts w:ascii="Calibri" w:hAnsi="Calibri"/>
          <w:b/>
          <w:color w:val="4A6B25"/>
          <w:sz w:val="20"/>
        </w:rPr>
        <w:t xml:space="preserve">3. </w:t>
      </w:r>
      <w:r>
        <w:rPr>
          <w:rFonts w:ascii="Calibri" w:hAnsi="Calibri"/>
          <w:b w:val="0"/>
          <w:color w:val="3A4A28"/>
          <w:sz w:val="20"/>
        </w:rPr>
        <w:t>Section 232 tariff non-materiality confirmation provides regulatory certainty heading into 2026, removing a key investor concern for the industrial sector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124.5% means dividends exceed earnings — the 58-year dividend growth streak depends entirely on the margin recovery plan succeeding, and any setback could force a cut [2]</w:t>
      </w:r>
    </w:p>
    <w:p>
      <w:pPr>
        <w:spacing w:before="40" w:after="40"/>
        <w:ind w:left="283"/>
      </w:pPr>
      <w:r>
        <w:rPr>
          <w:rFonts w:ascii="Calibri" w:hAnsi="Calibri"/>
          <w:b/>
          <w:color w:val="4A6B25"/>
          <w:sz w:val="20"/>
        </w:rPr>
        <w:t xml:space="preserve">2. </w:t>
      </w:r>
      <w:r>
        <w:rPr>
          <w:rFonts w:ascii="Calibri" w:hAnsi="Calibri"/>
          <w:b w:val="0"/>
          <w:color w:val="3A4A28"/>
          <w:sz w:val="20"/>
        </w:rPr>
        <w:t>Three consecutive years of revenue decline ($16.9B to $15.1B) may reflect structural demand weakness in tools and outdoor products, not just cyclical softness [1]</w:t>
      </w:r>
    </w:p>
    <w:p>
      <w:pPr>
        <w:spacing w:before="40" w:after="40"/>
        <w:ind w:left="283"/>
      </w:pPr>
      <w:r>
        <w:rPr>
          <w:rFonts w:ascii="Calibri" w:hAnsi="Calibri"/>
          <w:b/>
          <w:color w:val="4A6B25"/>
          <w:sz w:val="20"/>
        </w:rPr>
        <w:t xml:space="preserve">3. </w:t>
      </w:r>
      <w:r>
        <w:rPr>
          <w:rFonts w:ascii="Calibri" w:hAnsi="Calibri"/>
          <w:b w:val="0"/>
          <w:color w:val="3A4A28"/>
          <w:sz w:val="20"/>
        </w:rPr>
        <w:t>New CEO Christopher Nelson (effective October 2025) faces execution risk on a complex multi-year turnaround involving supply chain restructuring, licensing transitions, and tariff navigation during housing market uncertainty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Stanley Black &amp; Decker's core business — manufacturing and distributing physical tools, outdoor products, and industrial fasteners — is structurally protected from AI substitution. Drills, saws, and fasteners are tangible products used by tradespeople in physical environments that AI cannot replace [1]. The company's brand moat (DEWALT, CRAFTSMAN) and retail distribution relationships create switching costs independent of AI trends. However, AI-powered manufacturing competitors could emerge, and AI-enabled design tools could reduce demand for some professional tool categories. AI Opportunity (1/1): CTO Mark Maybury leads active AI deployment including Industry 4.0 manufacturing, robotic process automation, virtual assistants, and AI-driven pricing/procurement optimization — these applications are generating measurable internal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Stanley Black &amp; Decker Q4 and Full Year 2025 Earnings Release, PRNewswire, February 4,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yfinance data for SWK (Stanley Black &amp; Decker), retrieved April 21, 2026</w:t>
      </w:r>
    </w:p>
    <w:p>
      <w:pPr>
        <w:spacing w:before="20" w:after="20"/>
        <w:ind w:left="170"/>
      </w:pPr>
      <w:r>
        <w:rPr>
          <w:rFonts w:ascii="Calibri" w:hAnsi="Calibri"/>
          <w:b/>
          <w:color w:val="4A6B25"/>
          <w:sz w:val="15"/>
        </w:rPr>
        <w:t xml:space="preserve">3. </w:t>
      </w:r>
      <w:r>
        <w:rPr>
          <w:rFonts w:ascii="Calibri" w:hAnsi="Calibri"/>
          <w:b w:val="0"/>
          <w:color w:val="3A4A28"/>
          <w:sz w:val="17"/>
        </w:rPr>
        <w:t>MIT Sloan Management Review, Glassdoor, Comparably — SWK leadership, AI innovation (Mark Maybury CTO), employee sentiment,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Stanley Black &amp; Decker ESG Report 'A Force for Good' and corporate impact page,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Stanley Black &amp; Decker press release — Section 232 tariff changes not material to 2026 guidance,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