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SXC</w:t>
      </w:r>
      <w:r>
        <w:rPr>
          <w:rFonts w:ascii="Calibri" w:hAnsi="Calibri"/>
          <w:b/>
          <w:color w:val="1A2010"/>
          <w:sz w:val="40"/>
        </w:rPr>
        <w:t xml:space="preserve">  SunCoke Energy, Inc.</w:t>
      </w:r>
    </w:p>
    <w:p>
      <w:pPr>
        <w:spacing w:after="120"/>
      </w:pPr>
      <w:r>
        <w:rPr>
          <w:rFonts w:ascii="Calibri" w:hAnsi="Calibri"/>
          <w:b/>
          <w:color w:val="6E8450"/>
          <w:sz w:val="18"/>
        </w:rPr>
        <w:t>DIVIDEND SLEEVE · 2026-04-22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Coking Coal · NYSE · United States</w:t>
      </w:r>
    </w:p>
    <w:p>
      <w:pPr>
        <w:spacing w:after="80"/>
      </w:pPr>
      <w:r>
        <w:rPr>
          <w:rFonts w:ascii="Calibri" w:hAnsi="Calibri"/>
          <w:b w:val="0"/>
          <w:color w:val="3A4A28"/>
          <w:sz w:val="20"/>
        </w:rPr>
        <w:t>SunCoke Energy is the largest independent producer of high-quality metallurgical coke in the Americas, with over 45 years of production experience using proprietary heat recovery cokemaking technology. The company operates through two segments: Domestic Coke (serving blast furnace steelmakers) and Industrial Services (material handling, scrap processing, and logistics for steel and industrial customers). SunCoke acquired Phoenix Global in 2025 to expand industrial services.</w:t>
      </w:r>
    </w:p>
    <w:p>
      <w:r>
        <w:rPr>
          <w:rFonts w:ascii="Calibri" w:hAnsi="Calibri"/>
          <w:b/>
          <w:color w:val="6E8450"/>
          <w:sz w:val="18"/>
        </w:rPr>
        <w:t>2,477 Employees · https://www.suncoke.com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Phoenix Global acquisition in 2025 expanded SunCoke's Industrial Services segment, representing a strategic diversification beyond core cokemaking, though this is incremental rather than transformative [1]. AI Deployment (0/2): No evidence of AI deployment in operations, product development, or services. SunCoke operates traditional industrial processes with no announced AI initiatives [2]. Market Share (1/2): SunCoke is the largest independent coke producer in the Americas with 45+ years of experience and recently extended long-term contracts, demonstrating meaningful market position in a niche category [1][2]. Pipeline (1/2): The Phoenix Global integration and extended customer contracts provide revenue visibility; the Industrial Services segment is diversifying into logistics and scrap processing, though these are adjacent extensions rather than new product categories [1]. R&amp;D Intensity (0/1): No evidence of meaningful R&amp;D investment; the company operates mature industrial processes without significant technology development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SunCoke's mission focuses on being a leading producer of metallurgical coke with environmentally sound operations — a functional but generic industrial mission interchangeable with any basic materials peer [2][3]. Community Impact (1/2): SunCoke employs 2,477 workers across its facilities and emphasizes environmental stewardship in cokemaking, with heat recovery technology that meets environmental standards, though no specific charitable programs or community investment figures were identified [3]. Employee Retention (1/2): CEO Katherine Gates has been with SunCoke for over 12 years, demonstrating leadership continuity. Glassdoor rating of 3.3/5 is mediocre; employees cite resource constraints and senior leadership accountability gaps, though 3.0/5 for culture suggests adequate retention [2]. Insider Buying (0/2): No evidence of meaningful net insider buying found in recent searches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avg_daily_volume (1,822,903) x stock_price ($6.56) = $11.96M [4]. Dividend stock scoring on 11 available weight units (Forward P/E excluded as negative/unprofitable). D/E of 112.4% scores 0.82 — elevated due to Phoenix Global acquisition debt ($703.6M total debt vs $88.7M cash) [4]. ROE of -5.8% floors at 0.0 (recent net loss from operational headwinds). Revenue growth YoY of -1.2% scores 0.63 (modest decline). Revenue growth 5yr CAGR approximately -2% scores 0.20 (slight long-term contraction from $1.97B to $1.84B) [4]. Profit margin of -2.4% floors at 0.0. Payout ratio of 64% scores 0.60 (above 40% target). Consecutive years paid: 8 years (2019-2026, with a 2016-2018 gap) scores 0.80 at 2x weight. Consecutive years dividend growth: 4 years (2022-2025) scores 0.40. 5yr dividend growth CAGR: 14.9% ($0.24 to $0.48, 2020-2025) scores 1.0 at 2x weight [4]. Weighted sum: 6.24/11 x 10 = 5.7, rounded to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SunCoke demonstrates mixed infinite game characteristics. The company has maintained its core cokemaking business for 45+ years and strategically diversified through the Phoenix Global acquisition, showing some long-term orientation. However, the business is fundamentally tied to blast furnace steelmaking — a potentially declining technology as the steel industry shifts toward electric arc furnaces — and there is limited evidence of a Just Cause beyond operational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SunCoke's purpose centers on being the leading coke producer with environmental stewardship, but this reads as a business objective rather than a Just Cause (1/3 points). The company's heat recovery technology reduces environmental impact versus traditional cokemaking, which shows some purposefulness, but the mission doesn't articulate a vision of a better future beyond efficient industrial operations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(1/2 points). Katherine Gates' 12+ year tenure and promotion from CLO/CHRO to CEO suggests leadership continuity and internal talent development [2]. However, Glassdoor reviews cite resource constraints and senior leadership accountability gaps (3.0/5 culture score), indicating room for improvement in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points). SunCoke positions itself as the 'largest independent coke producer' — framing competition in terms of market dominance rather than learning from rivals. No management commentary references worthy competitors or learning from industry peers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The Phoenix Global acquisition diversified SunCoke from pure cokemaking into industrial services (scrap processing, logistics, material handling), showing willingness to evolve the business model [1]. However, this is adjacent expansion rather than transformative reinvention, and the core coke business remains tied to blast furnace technology that faces long-term secular decline from EAF adoption.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decisions (0/2 points). SunCoke has maintained and defended its legacy cokemaking business without visible examples of leadership sacrificing short-term results for long-term capability [1][2]. The Phoenix Global acquisition was strategic but conventional — a bolt-on acquisition rather than a transformative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SunCoke Energy offers a 7.3% dividend yield supported by the largest independent metallurgical coke operation in the Americas and a diversifying Industrial Services segment bolstered by the Phoenix Global acquisition [1]. Management guides $230-250M adjusted EBITDA for 2026, with Domestic Coke contributing $162-168M and Industrial Services (including a full year of Phoenix) contributing $90-100M [1]. The dividend has grown at a 14.9% 5-year CAGR ($0.24 to $0.48 annually), recently extended customer contracts provide revenue visibility, and the stock trades at just $6.56 with a $557M market cap, representing deep value if EBITDA targets are met [4].</w:t>
      </w:r>
    </w:p>
    <w:p>
      <w:pPr>
        <w:spacing w:after="120"/>
      </w:pPr>
      <w:r>
        <w:rPr>
          <w:rFonts w:ascii="Calibri" w:hAnsi="Calibri"/>
          <w:b w:val="0"/>
          <w:color w:val="3A4A28"/>
          <w:sz w:val="20"/>
        </w:rPr>
        <w:t>The bear case centers on cyclicality and secular decline. SunCoke's core coke business is structurally tied to blast furnace steelmaking, which faces long-term decline as the steel industry transitions to electric arc furnaces (EAF) — EAF now represents over 70% of U.S. steel production [1]. Current TTM earnings are negative (-$0.52 EPS), with profit margin at -2.4% and ROE at -5.8%, driven partly by Q4 2025 operational headwinds including a turbine failure at Middletown and severe weather trimming ~$10M from Q1 2026 results [1]. Debt of $703.6M against $88.7M cash creates leverage risk (D/E 112%), particularly if steel demand weakens. Revenue has contracted from $2.06B (2023) to $1.84B (2025), and analysts forecast further 1.6% decline in 2026. The 64% payout ratio on negative earnings is unsustainable without a rapid return to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Phoenix Global integration delivering full-year Industrial Services EBITDA of $90-100M and early synergies through 2026 [1]</w:t>
      </w:r>
    </w:p>
    <w:p>
      <w:pPr>
        <w:spacing w:before="40" w:after="40"/>
        <w:ind w:left="283"/>
      </w:pPr>
      <w:r>
        <w:rPr>
          <w:rFonts w:ascii="Calibri" w:hAnsi="Calibri"/>
          <w:b/>
          <w:color w:val="4A6B25"/>
          <w:sz w:val="20"/>
        </w:rPr>
        <w:t xml:space="preserve">2. </w:t>
      </w:r>
      <w:r>
        <w:rPr>
          <w:rFonts w:ascii="Calibri" w:hAnsi="Calibri"/>
          <w:b w:val="0"/>
          <w:color w:val="3A4A28"/>
          <w:sz w:val="20"/>
        </w:rPr>
        <w:t>Return to profitability in 2026 with management's $230-250M adjusted EBITDA guidance, supported by recently extended long-term coke contracts [1]</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the stock yields 7.3% with a 14.9% 5-year dividend growth CAGR, attractive if earnings stabilize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blast furnace steelmaking as EAF adoption accelerates — SunCoke's core coke demand is structurally at risk from this industry transition [1]</w:t>
      </w:r>
    </w:p>
    <w:p>
      <w:pPr>
        <w:spacing w:before="40" w:after="40"/>
        <w:ind w:left="283"/>
      </w:pPr>
      <w:r>
        <w:rPr>
          <w:rFonts w:ascii="Calibri" w:hAnsi="Calibri"/>
          <w:b/>
          <w:color w:val="4A6B25"/>
          <w:sz w:val="20"/>
        </w:rPr>
        <w:t xml:space="preserve">2. </w:t>
      </w:r>
      <w:r>
        <w:rPr>
          <w:rFonts w:ascii="Calibri" w:hAnsi="Calibri"/>
          <w:b w:val="0"/>
          <w:color w:val="3A4A28"/>
          <w:sz w:val="20"/>
        </w:rPr>
        <w:t>Operational headwinds — Middletown turbine failure and weather impacts are expected to trim ~$10M from Q1 2026, and similar disruptions could recur across aging facilities [1]</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the 64% payout ratio is being paid from negative trailing earnings, making the dividend dependent on a rapid return to profitability in 2026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SunCoke's core business — producing metallurgical coke through high-temperature heat recovery cokemaking for blast furnace steelmaking — is a physical-world industrial process that AI structurally cannot displace [1][2]. The company operates heavy industrial facilities, logistics terminals, and provides on-site scrap handling services that require physical infrastructure. AI cannot substitute for coke in steelmaking, nor can it replace the material handling, scrap processing, and logistics services that constitute the Industrial Services segment. No analysts have flagged AI as a disruption risk for SunCoke. AI Opportunity (0/1): No evidence of AI-related revenue generation. SunCoke does not deploy or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SunCoke Energy 2025 Annual Results and 2026 Guidance — $230-250M adjusted EBITDA target, Phoenix Global integration,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SunCoke Energy corporate website — management team, environmental stewardship, company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SunCoke Energy Glassdoor reviews (3.3/5, 72 reviews) and ESG disclosures,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SXC,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