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SYF</w:t>
      </w:r>
      <w:r>
        <w:rPr>
          <w:rFonts w:ascii="Calibri" w:hAnsi="Calibri"/>
          <w:b/>
          <w:color w:val="1A2010"/>
          <w:sz w:val="40"/>
        </w:rPr>
        <w:t xml:space="preserve">  Synchrony Financial</w:t>
      </w:r>
    </w:p>
    <w:p>
      <w:pPr>
        <w:spacing w:after="120"/>
      </w:pPr>
      <w:r>
        <w:rPr>
          <w:rFonts w:ascii="Calibri" w:hAnsi="Calibri"/>
          <w:b/>
          <w:color w:val="6E8450"/>
          <w:sz w:val="18"/>
        </w:rPr>
        <w:t>GROWTH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Synchrony Financial is the largest provider of private-label credit cards in the United States by outstanding receivables and purchase volume. The company offers credit cards, commercial credit products, consumer installment loans, and deposit products through partnerships with national and regional retailers, healthcare providers, and digital platforms including Amazon, Walmart, and CareCredit.</w:t>
      </w:r>
    </w:p>
    <w:p>
      <w:r>
        <w:rPr>
          <w:rFonts w:ascii="Calibri" w:hAnsi="Calibri"/>
          <w:b/>
          <w:color w:val="6E8450"/>
          <w:sz w:val="18"/>
        </w:rPr>
        <w:t>20,000 Employees · https://www.synchrony.com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Synchrony has executed meaningful strategic pivots since its 2014 GE spinoff, most notably securing the exclusive Walmart/OnePay partnership for private-label and general-purpose cards, and launching 'Synchrony Pay Later' BNPL with Amazon for transactions over $50 [1]. These partnerships represent significant new revenue streams beyond legacy retail cards. AI Deployment (1/2): Synchrony has invested in AI through its Emerging Technology Center at UIUC and cross-functional Incubation Team, with AI-driven credit decisioning and fraud detection deployed, but no specific revenue or savings figures have been publicly quantified [2]. Market Share (2/2): Synchrony is the undisputed leader in private-label credit cards by both receivables ($100B+) and purchase volume, with dominant positions in healthcare financing (CareCredit) and retail credit [1]. Pipeline (1/2): The Walmart/OnePay launch slated for fall 2026 and Amazon BNPL expansion provide visible near-term revenue catalysts, though next-generation product timelines beyond these partnerships are vague [1]. R&amp;D Intensity (0/1): R&amp;D spending is not broken out separately, and while the company invests in technology, it operates below the intensity of fintech pure-plays.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Synchrony's stated purpose centers on building 'a future where every ambition is within reach' through financial inclusion and trusted credit access. CEO Brian Doubles has articulated that trust is Synchrony's core asset, and this purpose clearly shapes strategic decisions like CareCredit's healthcare financing and the Amazon BNPL product that extends credit accessibility [2]. The mission is specific and thoughtful but has not been tested across decades of consistent execution. Community Impact (1/2): Synchrony runs corporate philanthropy and employee volunteer programs, and has committed to carbon-free operations by 2040, though specific dollar amounts for charitable giving are not prominently disclosed [3]. Employee Retention (2/2): 92% of employees say management trusts them without constant oversight, and 94% say Synchrony is a great place to work [2]. The company has risen from #37 to top three on the Great Place to Work rankings, and the trust-based culture is directly cited by employees as why they stay. Insider Buying (1/2): Net insider selling dominates recent activity — 0 buys and 19 sells over the past year, with CFO Brian Wenzel selling $3.16M and multiple executives reducing positions in March 2026 [4]. However, much of this appears tied to 10b5-1 plans and RSU vesting, scoring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Synchrony's financial profile is exceptional for a credit services company. Profit margin of 36.4% reflects the high-yield nature of consumer credit portfolios, while ROE of 21.3% exceeds the 15% target [5]. Forward P/E of 6.53x is deeply undervalued relative to the 20x target, with trailing P/E of 7.36x pricing the stock below typical financial services multiples. Revenue growth of 5% YoY is modest but reflects normalization after a 2024 revenue spike from late fee regulatory adjustments; 5-year revenue CAGR of approximately 6.5% shows steady growth from $10B to $15B [1]. Forward PEG of approximately 0.51 (based on forward P/E of 6.53 and forward EPS growth of ~12.7%) is outstanding. D/E is excluded as yfinance does not report it for financial holding companies with banking subsidiaries. Liquidity floor easily cleared: 4.7M avg volume x $68.33 = $321M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Synchrony under Brian Doubles demonstrates meaningful infinite game characteristics, particularly in its trust-based culture and purpose-driven approach to financial inclusion. The company's deliberate investment in employee trust and its transition from GE spinoff to independent innovator show genuine long-term thinking. However, the relatively short post-spinoff history (since 2014) means the cause hasn't been tested through multi-decade cycles, and the heavy emphasis on quarterly earnings metrics and share buybacks reveals some finite 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Synchrony's purpose of enabling financial ambitions through trusted credit access is genuine and connects its work to financial inclusion — a meaningful social outcome. CEO Doubles consistently references trust as the company's core asset, and strategic decisions like CareCredit (healthcare financing) and the Amazon BNPL product align with expanding credit accessibility [2]. However, the cause hasn't been validated through decades of crisis and leadership transition — the company is only 12 years post-spinoff.</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Synchrony is one of the strongest examples of high-trust culture in corporate America. 92% of employees say management trusts them without constant oversight, 94% say it's a great place to work, and the company rose from #37 to top three on Great Place to Work rankings [2]. CEO Doubles wrote in Fortune that 'the real engine of innovation is trust' — and the data validates this isn't marketing. The trust culture is directly cited as enabling faster innovation and better outcomes.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Synchrony acknowledges fintech disruptors as worthy rivals and uses competitive pressure to improve. Rather than dismissing Affirm, Klarna, and Apple Pay Later, Synchrony launched its own BNPL product and modernized its digital experience through the OnePay partnership, demonstrating a growth mindset that learns from competitive dynamics rather than seeking to destroy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Synchrony has evolved meaningfully since the GE spinoff — transforming from a legacy GE Capital retail financing operation into a technology-forward consumer financial services company with cloud-native infrastructure and AI capabilities [2]. The pivot to BNPL and digital-first partnerships represents genuine adaptation, but these are incremental evolutions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Synchrony showed courage in investing heavily in technology and culture during the post-spinoff period when short-term cost-cutting would have been easier. The decision to pursue the Walmart partnership and build out BNPL capabilities required significant upfront investment [1]. However, the $2.5B share buyback program and consistent insider selling suggest some prioritization of near-term financial engineering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Synchrony Financial is a deeply undervalued consumer credit franchise trading at 6.5x forward earnings with a 36.4% profit margin and 21.3% ROE — financial metrics that rival the best in financial services [5]. The company's exclusive partnerships with Walmart (OnePay launch fall 2026) and Amazon (BNPL expansion) provide visible catalysts for returning to mid-to-high single-digit growth after a normalization year, while the $100B+ receivables base and dominant private-label market share create durable competitive advantages [1]. Management's trust-driven culture (top 3 Great Place to Work) and $2.5B buyback program signal confidence, and the forward PEG of ~0.51 suggests the market is significantly underpricing Synchrony's earnings growth trajectory [2][4].</w:t>
      </w:r>
    </w:p>
    <w:p>
      <w:pPr>
        <w:spacing w:after="120"/>
      </w:pPr>
      <w:r>
        <w:rPr>
          <w:rFonts w:ascii="Calibri" w:hAnsi="Calibri"/>
          <w:b w:val="0"/>
          <w:color w:val="3A4A28"/>
          <w:sz w:val="20"/>
        </w:rPr>
        <w:t>The bear case centers on credit cycle risk and regulatory headwinds. Consumer credit quality could deteriorate if unemployment rises, with net charge-offs and delinquencies already normalizing from pandemic lows — Synchrony's $100B+ receivables base amplifies this exposure [1]. The CFPB's late fee cap rule, while partially mitigated by repricing, created a 4.3% annual revenue decline in 2025 and may face further regulatory action. The Walmart/OnePay partnership, while promising, carries execution risk as OnePay is an unproven platform, and failure to launch on schedule could disappoint the market. Heavy insider selling — 19 sells and 0 buys over the past year — raises questions about management's conviction despite the low valuation [4]. Finally, fintech competition from Affirm, Klarna, and Apple Pay Later continues to pressure Synchrony's traditional credit card model, particularly among younger consumers who prefer BNPL over revolving credit.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Walmart/OnePay exclusive partnership launching fall 2026, adding private-label and general-purpose card programs to the largest U.S. retailer's digital payments ecosystem [1]</w:t>
      </w:r>
    </w:p>
    <w:p>
      <w:pPr>
        <w:spacing w:before="40" w:after="40"/>
        <w:ind w:left="283"/>
      </w:pPr>
      <w:r>
        <w:rPr>
          <w:rFonts w:ascii="Calibri" w:hAnsi="Calibri"/>
          <w:b/>
          <w:color w:val="4A6B25"/>
          <w:sz w:val="20"/>
        </w:rPr>
        <w:t xml:space="preserve">2. </w:t>
      </w:r>
      <w:r>
        <w:rPr>
          <w:rFonts w:ascii="Calibri" w:hAnsi="Calibri"/>
          <w:b w:val="0"/>
          <w:color w:val="3A4A28"/>
          <w:sz w:val="20"/>
        </w:rPr>
        <w:t>Amazon BNPL expansion with 'Synchrony Pay Later' for transactions $50+, leveraging the world's largest e-commerce platform to drive installment loan originations [1]</w:t>
      </w:r>
    </w:p>
    <w:p>
      <w:pPr>
        <w:spacing w:before="40" w:after="40"/>
        <w:ind w:left="283"/>
      </w:pPr>
      <w:r>
        <w:rPr>
          <w:rFonts w:ascii="Calibri" w:hAnsi="Calibri"/>
          <w:b/>
          <w:color w:val="4A6B25"/>
          <w:sz w:val="20"/>
        </w:rPr>
        <w:t xml:space="preserve">3. </w:t>
      </w:r>
      <w:r>
        <w:rPr>
          <w:rFonts w:ascii="Calibri" w:hAnsi="Calibri"/>
          <w:b w:val="0"/>
          <w:color w:val="3A4A28"/>
          <w:sz w:val="20"/>
        </w:rPr>
        <w:t>Forward P/E of 6.5x with $2.5B buyback authorization through June 2026 creates significant earnings accretion and potential multiple expansion if growth reaccelerates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credit deterioration — rising unemployment or recession could spike net charge-offs across Synchrony's $100B+ receivables base, with delinquencies already normalizing from pandemic lows [1]</w:t>
      </w:r>
    </w:p>
    <w:p>
      <w:pPr>
        <w:spacing w:before="40" w:after="40"/>
        <w:ind w:left="283"/>
      </w:pPr>
      <w:r>
        <w:rPr>
          <w:rFonts w:ascii="Calibri" w:hAnsi="Calibri"/>
          <w:b/>
          <w:color w:val="4A6B25"/>
          <w:sz w:val="20"/>
        </w:rPr>
        <w:t xml:space="preserve">2. </w:t>
      </w:r>
      <w:r>
        <w:rPr>
          <w:rFonts w:ascii="Calibri" w:hAnsi="Calibri"/>
          <w:b w:val="0"/>
          <w:color w:val="3A4A28"/>
          <w:sz w:val="20"/>
        </w:rPr>
        <w:t>Regulatory risk from CFPB late fee caps and potential additional consumer protection regulations that compress revenue per account and force costly repricing [1]</w:t>
      </w:r>
    </w:p>
    <w:p>
      <w:pPr>
        <w:spacing w:before="40" w:after="40"/>
        <w:ind w:left="283"/>
      </w:pPr>
      <w:r>
        <w:rPr>
          <w:rFonts w:ascii="Calibri" w:hAnsi="Calibri"/>
          <w:b/>
          <w:color w:val="4A6B25"/>
          <w:sz w:val="20"/>
        </w:rPr>
        <w:t xml:space="preserve">3. </w:t>
      </w:r>
      <w:r>
        <w:rPr>
          <w:rFonts w:ascii="Calibri" w:hAnsi="Calibri"/>
          <w:b w:val="0"/>
          <w:color w:val="3A4A28"/>
          <w:sz w:val="20"/>
        </w:rPr>
        <w:t>Fintech competition from BNPL providers (Affirm, Klarna) and embedded finance (Apple Pay Later) eroding Synchrony's traditional private-label credit card model among younger consumers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Synchrony operates in consumer credit, where AI creates meaningful substitution risk for underwriting, customer service, and fraud detection functions that historically required large teams [2]. Fintech disruptors like Affirm, Klarna, and Apple Pay Later use AI-native credit decisioning to compete directly with Synchrony's private-label card model. However, Synchrony's moat rests on exclusive retail partnerships (Walmart, Amazon) and a $100B+ receivables base that AI cannot replicate — the brand relationships and regulatory infrastructure create switching costs. Analysts view Synchrony as needing to continually invest in technology to defend its position rather than being immune to disruption [1]. AI Opportunity (1/1): Synchrony generates revenue from AI-enhanced credit decisioning and fraud detection, with the UIUC partnership and Incubation Team producing patents and deployed AI tools that improve underwriting accuracy and customer experience, though specific AI revenue figures are not broken 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Synchrony Financial Q1 2025 Earnings Release — $967M net income, 28.3% ROTCE, Walmart/OnePay and Amazon BNPL partnerships announced, July 2025</w:t>
      </w:r>
    </w:p>
    <w:p>
      <w:pPr>
        <w:spacing w:before="20" w:after="20"/>
        <w:ind w:left="170"/>
      </w:pPr>
      <w:r>
        <w:rPr>
          <w:rFonts w:ascii="Calibri" w:hAnsi="Calibri"/>
          <w:b/>
          <w:color w:val="4A6B25"/>
          <w:sz w:val="15"/>
        </w:rPr>
        <w:t xml:space="preserve">2. </w:t>
      </w:r>
      <w:r>
        <w:rPr>
          <w:rFonts w:ascii="Calibri" w:hAnsi="Calibri"/>
          <w:b w:val="0"/>
          <w:color w:val="3A4A28"/>
          <w:sz w:val="17"/>
        </w:rPr>
        <w:t>Fortune, 'The Real Engine of Innovation Is Trust' — Brian Doubles commentary on Synchrony culture, Great Place to Work top 3 ranking, March 2026</w:t>
      </w:r>
    </w:p>
    <w:p>
      <w:pPr>
        <w:spacing w:before="20" w:after="20"/>
        <w:ind w:left="170"/>
      </w:pPr>
      <w:r>
        <w:rPr>
          <w:rFonts w:ascii="Calibri" w:hAnsi="Calibri"/>
          <w:b/>
          <w:color w:val="4A6B25"/>
          <w:sz w:val="15"/>
        </w:rPr>
        <w:t xml:space="preserve">3. </w:t>
      </w:r>
      <w:r>
        <w:rPr>
          <w:rFonts w:ascii="Calibri" w:hAnsi="Calibri"/>
          <w:b w:val="0"/>
          <w:color w:val="3A4A28"/>
          <w:sz w:val="17"/>
        </w:rPr>
        <w:t>Synchrony Financial ESG and Sustainability disclosures, Sustainalytics ESG Risk Rating (Negligible, score 17), 2025</w:t>
      </w:r>
    </w:p>
    <w:p>
      <w:pPr>
        <w:spacing w:before="20" w:after="20"/>
        <w:ind w:left="170"/>
      </w:pPr>
      <w:r>
        <w:rPr>
          <w:rFonts w:ascii="Calibri" w:hAnsi="Calibri"/>
          <w:b/>
          <w:color w:val="4A6B25"/>
          <w:sz w:val="15"/>
        </w:rPr>
        <w:t xml:space="preserve">4. </w:t>
      </w:r>
      <w:r>
        <w:rPr>
          <w:rFonts w:ascii="Calibri" w:hAnsi="Calibri"/>
          <w:b w:val="0"/>
          <w:color w:val="3A4A28"/>
          <w:sz w:val="17"/>
        </w:rPr>
        <w:t>Insider trading data — 0 buys, 19 sells in trailing 12 months, including CFO Wenzel $3.16M sale,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SYF (Synchrony Financial),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