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SYK</w:t>
      </w:r>
      <w:r>
        <w:rPr>
          <w:rFonts w:ascii="Calibri" w:hAnsi="Calibri"/>
          <w:b/>
          <w:color w:val="1A2010"/>
          <w:sz w:val="40"/>
        </w:rPr>
        <w:t xml:space="preserve">  Stryker Corporation</w:t>
      </w:r>
    </w:p>
    <w:p>
      <w:pPr>
        <w:spacing w:after="120"/>
      </w:pPr>
      <w:r>
        <w:rPr>
          <w:rFonts w:ascii="Calibri" w:hAnsi="Calibri"/>
          <w:b/>
          <w:color w:val="6E8450"/>
          <w:sz w:val="18"/>
        </w:rPr>
        <w:t>DIVIDEND SLEEVE · 2026-04-01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Stryker is a global leader in medical devices and technologies, specializing in orthopaedic implants, surgical robotics (Mako), neurotechnology, spine products, and vascular devices. The company serves hospitals and healthcare providers across 75+ countries with a portfolio spanning joint replacement, trauma, surgical equipment, endoscopy, and the recently acquired Inari Medical peripheral vascular platform.</w:t>
      </w:r>
    </w:p>
    <w:p>
      <w:r>
        <w:rPr>
          <w:rFonts w:ascii="Calibri" w:hAnsi="Calibri"/>
          <w:b/>
          <w:color w:val="6E8450"/>
          <w:sz w:val="18"/>
        </w:rPr>
        <w:t>56,000 Employees · https://www.stryker.com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Stryker has executed multiple transformative moves — the $4.9B Inari Medical acquisition in February 2025 expanded into peripheral vascular (MedSurg &amp; Neurotechnology segment up 15.7% for FY2025), the Mako 4 fourth-generation surgical robot launched, and a partnership with Siemens Healthineers for neurovascular robotics was formed [1][2]. CEO Lobo has completed 55+ acquisitions across robotics, surgical devices, and diagnostics. AI Deployment (2/2): Stryker's Mako Insightful Data Analytics platform contains 1 million+ patient records and 105 million actionable data points used to personalize surgical planning [2]. The 2021 Gauss Surgical AI acquisition and AI-based implant selection for shoulder replacements represent shipping AI products generating revenue. CEO Lobo states 'there is no question AI will be proliferated across all of Stryker' [2]. Market Share (2/2): Stryker is the undisputed leader in robotic-assisted orthopedic surgery with 3,000+ Mako installations across 35 countries and over 1 million procedures completed — a 'razor and razorblade' model generating recurring implant and software revenue [2]. Pipeline (1/2): Mako RPS handheld robotic system completed first total knee cases, Triathlon Gold knee system for metal-sensitive patients, and expansion into spine robotics — specific products with clinical timelines though revenue visibility is limited [1]. R&amp;D Intensity (1/1): Stryker created the dedicated Digital, Robotics and Enabling Technologies (DRE) group in 2021 and invests above medtech-peer averages in surgical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Stryker's purpose — 'Together with our customers, we are driven to make healthcare better' — is specific, thoughtful, and validated by decades of consistent investment in surgical innovation from Mako robotics to AI-powered surgical planning [2]. The mission has shaped strategic decisions including the DRE group creation and 55+ acquisitions focused on advancing surgical capabilities. It falls short of transformative (4/4) because it hasn't been tested through existential crisis. Community Impact (1/2): Stryker's corporate responsibility program under VP Eileen Buckley includes environmental footprint reduction and healthcare access initiatives across 75+ countries, with annual comprehensive ESG reporting; however, no distinctive charitable foundation with specific dollar amounts was identified [3]. Employee Retention (1/2): 56,000 employees with stable leadership under CEO Lobo since 2012 and dedicated innovation groups, but some turnover in the robotics leadership (VP/GM departures noted in 2025), and no specific retention metrics were found [2]. Insider Buying (0/2): Zero insider purchases in the past 6 months against 35 sales — dominated by board member Ronda Stryker selling 1,020,000 shares worth $366M, plus officers including VP Berry selling shares [4]. Net insider sentiment is definitively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Stryker's financial profile scores near-perfect across the infrastructure algorithm. D/E of 73% is close to the 70% target, slightly elevated from Inari Medical acquisition debt [5]. ROE of 15.1% meets the 15% target exactly [5]. Revenue grew 11.4% YoY to $25.1B with four consecutive years of double-digit growth, and the 5-year CAGR of approximately 11.8% exceeds the 10% target [1]. Forward P/E of 19.7x is right at the 20x target. Payout ratio of 40.5% is at target. With approximately 30 consecutive years of dividend payments and 16 years of consecutive growth, Stryker is a dividend aristocrat [5]. The 7.7% 5-year dividend CAGR exceeds the 6% target. The only drag is profit margin at 12.9%, below the 20% target due to capital-intensive medical device manufacturing. Liquidity is ample at $699M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Stryker exemplifies infinite game thinking through its consistent 'make healthcare better' purpose validated by decades of surgical innovation investment, willingness to make transformative bets ($1.65B Mako in 2013, $4.9B Inari in 2025), and strategic patience in building the robotic surgery platform over a decade before it reached critical mass. CEO Lobo's 14-year tenure and focus on long-term capability building over quarterly optimization reflect infinite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(2/3 -&gt; 7/10): Stryker's purpose of making healthcare better through surgical innovation is genuine, distinctive, and partially validated by execution — the $1.65B Mako acquisition in 2013 was a long-term bet that took years to prove out but now defines the company's identity with 1M+ procedures performed [2]. The cause connects to something bigger than profit — improving surgical outcomes for patients worldwide. However, it hasn't been tested through a true existential crisis requiring sacrifice of profitable but misaligned businesses.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(1/2 -&gt; 6/10): Stryker's culture values innovation and has created dedicated groups (DRE) to empower technical teams. CEO Lobo's 14-year tenure provides leadership continuity [1]. However, recent leadership turnover in the robotics division — VP/GM departures and role changes in 2025 — and no publicly available employee satisfaction or retention metrics prevent a higher score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(1/1 -&gt; 10/10): Stryker demonstrates an infinite competitive mindset. Rather than trying to destroy Intuitive Surgical in soft tissue robotics, Stryker focused on orthopedics where it could bring unique value through Mako [2]. CEO Lobo acknowledges Intuitive's strength, stating there is 'room for more than one big player' — a textbook Sinek response. The Siemens Healthineers partnership for neurovascular robotics shows willingness to collaborate where rivals have complementary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(2/2 -&gt; 10/10): Stryker's 2013 acquisition of MAKO Surgical for $1.65B was a transformative bet that fundamentally redefined the company from a traditional implant manufacturer into the undisputed pioneer of robotic-assisted orthopedic surgery [2]. The $4.9B Inari Medical acquisition in 2025 represents another transformative move into peripheral vascular — an entirely new therapeutic area. Both pivots were driven by the healthcare innovation cause, not desperation, and both required years of patient investment before reaching full potential.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(1/2 -&gt; 6/10): CEO Lobo has demonstrated courage through the $4.9B Inari Medical acquisition and sustained investment in Mako robotics through years of slow adoption before the platform reached critical mass [1][2]. The willingness to absorb an estimated $400M in tariff impact in 2026 rather than pull back from growth investments shows long-term prioritization. However, no examples of walking away from profitable but misaligned businesses or dramatic countercyclical investment during downturns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Stryker is one of the highest-quality compounders in medtech, delivering four consecutive years of double-digit revenue growth to $25.1B in FY2025 with adjusted EPS of $13.63 (up 11.8%) [1]. The Mako surgical robot platform — with 3,000+ installations, 1M+ procedures, and 105M data points in its AI analytics database — creates a recurring 'razor and razorblade' ecosystem generating implant pull-through and software revenue that deepens over time [2]. The $4.9B Inari Medical acquisition drove 15.7% growth in MedSurg &amp; Neurotechnology, opening a new multi-billion-dollar addressable market in peripheral vascular [1]. 2026 guidance of 8-9.5% organic growth and $14.90-$15.10 adjusted EPS reflects sustained momentum. At 19.7x forward P/E — right at the target threshold — with 30 years of consecutive dividends, 16 years of growth, and a near-perfect infrastructure score, Stryker combines elite growth with dividend reliability. The Mako RPS handheld robot and Triathlon Gold knee system represent the next innovation wave [1][2].</w:t>
      </w:r>
    </w:p>
    <w:p>
      <w:pPr>
        <w:spacing w:after="120"/>
      </w:pPr>
      <w:r>
        <w:rPr>
          <w:rFonts w:ascii="Calibri" w:hAnsi="Calibri"/>
          <w:b w:val="0"/>
          <w:color w:val="3A4A28"/>
          <w:sz w:val="20"/>
        </w:rPr>
        <w:t>The bear case centers on valuation and margin headwinds. At 19.7x forward P/E, Stryker is priced for continued double-digit growth with limited margin of safety if execution falters. The estimated $400M tariff impact in 2026 could compress margins, particularly as the company simultaneously integrates Inari Medical [1]. Profit margin of 12.9% is below medtech peers, and D/E of 73% has crept above the 70% target due to acquisition debt. Insider selling is aggressive — zero insider purchases against 35 sales in 6 months, including board member Ronda Stryker disposing of 1.02M shares worth $366M [4]. A major cyberattack attributed to the pro-Iranian hacktivist group Handala recently disrupted order processing, manufacturing, and shipping operations across 200,000+ systems, highlighting operational vulnerability as devices become more connected [3]. If Mako adoption slows or competitive robotic platforms from Smith &amp; Nephew or Zimmer Biomet gain traction, the premium valuation would compress.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Mako RPS handheld robotic system completing first total knee cases and Triathlon Gold knee system launch, expanding Stryker's addressable surgical robotics market beyond large-installation hospitals [1][2]</w:t>
      </w:r>
    </w:p>
    <w:p>
      <w:pPr>
        <w:spacing w:before="40" w:after="40"/>
        <w:ind w:left="283"/>
      </w:pPr>
      <w:r>
        <w:rPr>
          <w:rFonts w:ascii="Calibri" w:hAnsi="Calibri"/>
          <w:b/>
          <w:color w:val="4A6B25"/>
          <w:sz w:val="20"/>
        </w:rPr>
        <w:t xml:space="preserve">2. </w:t>
      </w:r>
      <w:r>
        <w:rPr>
          <w:rFonts w:ascii="Calibri" w:hAnsi="Calibri"/>
          <w:b w:val="0"/>
          <w:color w:val="3A4A28"/>
          <w:sz w:val="20"/>
        </w:rPr>
        <w:t>Inari Medical integration driving peripheral vascular growth with the MedSurg &amp; Neurotechnology segment up 15.7% in FY2025, opening a multi-billion-dollar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2026 guidance of 8-9.5% organic growth and $14.90-$15.10 adjusted EPS, extending the streak of four consecutive double-digit revenue growth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19.7x forward P/E with estimated $400M tariff headwind in 2026 and Inari Medical integration execution risk — limited margin of safety if growth disappoints [1]</w:t>
      </w:r>
    </w:p>
    <w:p>
      <w:pPr>
        <w:spacing w:before="40" w:after="40"/>
        <w:ind w:left="283"/>
      </w:pPr>
      <w:r>
        <w:rPr>
          <w:rFonts w:ascii="Calibri" w:hAnsi="Calibri"/>
          <w:b/>
          <w:color w:val="4A6B25"/>
          <w:sz w:val="20"/>
        </w:rPr>
        <w:t xml:space="preserve">2. </w:t>
      </w:r>
      <w:r>
        <w:rPr>
          <w:rFonts w:ascii="Calibri" w:hAnsi="Calibri"/>
          <w:b w:val="0"/>
          <w:color w:val="3A4A28"/>
          <w:sz w:val="20"/>
        </w:rPr>
        <w:t>Massive insider selling — zero purchases vs 35 sales in 6 months, including Ronda Stryker disposing of $366M in shares — signals potential near-term caution from those closest to the company [4]</w:t>
      </w:r>
    </w:p>
    <w:p>
      <w:pPr>
        <w:spacing w:before="40" w:after="40"/>
        <w:ind w:left="283"/>
      </w:pPr>
      <w:r>
        <w:rPr>
          <w:rFonts w:ascii="Calibri" w:hAnsi="Calibri"/>
          <w:b/>
          <w:color w:val="4A6B25"/>
          <w:sz w:val="20"/>
        </w:rPr>
        <w:t xml:space="preserve">3. </w:t>
      </w:r>
      <w:r>
        <w:rPr>
          <w:rFonts w:ascii="Calibri" w:hAnsi="Calibri"/>
          <w:b w:val="0"/>
          <w:color w:val="3A4A28"/>
          <w:sz w:val="20"/>
        </w:rPr>
        <w:t>Cybersecurity vulnerability demonstrated by Handala cyberattack disrupting 200,000+ systems, with increasing attack surface as Mako AI analytics and connected surgical devices expand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Medical device manufacturing and surgical robotics involve deeply physical, FDA-regulated processes that AI cannot displace — hip implants must be physically manufactured, sterilized, and surgically installed by trained professionals [1][2]. Regulatory requirements (510(k), PMA pathways), surgeon training moats on the Mako platform, and hospital purchasing relationships create formidable barriers to AI disruption. AI actually increases demand for Stryker's products by enabling more precise, personalized surgical procedures through the Mako Insightful Data Analytics platform (1M+ patient records, 105M data points). However, some diagnostic and pre-surgical planning functions face emerging competitive pressure from AI-native companies, keeping the score below IMMUNE. AI Opportunity (1/1): Stryker generates meaningful AI revenue through AI-powered implant selection for shoulder replacements, the Gauss Surgical AI platform for blood loss monitoring, and AI-integrated Mako surgical planning tools deployed across 3,000+ installations worldwide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Stryker FY2025 Results and 2026 Guidance — $25.1B revenue (11.2% growth), $13.63 adjusted EPS, 8-9.5% organic growth guidance, $400M tariff estimate, January 2026</w:t>
      </w:r>
    </w:p>
    <w:p>
      <w:pPr>
        <w:spacing w:before="20" w:after="20"/>
        <w:ind w:left="170"/>
      </w:pPr>
      <w:r>
        <w:rPr>
          <w:rFonts w:ascii="Calibri" w:hAnsi="Calibri"/>
          <w:b/>
          <w:color w:val="4A6B25"/>
          <w:sz w:val="15"/>
        </w:rPr>
        <w:t xml:space="preserve">2. </w:t>
      </w:r>
      <w:r>
        <w:rPr>
          <w:rFonts w:ascii="Calibri" w:hAnsi="Calibri"/>
          <w:b w:val="0"/>
          <w:color w:val="3A4A28"/>
          <w:sz w:val="17"/>
        </w:rPr>
        <w:t>Stryker Mako robotics platform — 3,000+ installations, 1M+ procedures, 105M data points, Mako RPS handheld robot, CEO Lobo AI strategy, Gauss Surgical acquisition — stryker.com, medicaldesignandoutsourcing.com</w:t>
      </w:r>
    </w:p>
    <w:p>
      <w:pPr>
        <w:spacing w:before="20" w:after="20"/>
        <w:ind w:left="170"/>
      </w:pPr>
      <w:r>
        <w:rPr>
          <w:rFonts w:ascii="Calibri" w:hAnsi="Calibri"/>
          <w:b/>
          <w:color w:val="4A6B25"/>
          <w:sz w:val="15"/>
        </w:rPr>
        <w:t xml:space="preserve">3. </w:t>
      </w:r>
      <w:r>
        <w:rPr>
          <w:rFonts w:ascii="Calibri" w:hAnsi="Calibri"/>
          <w:b w:val="0"/>
          <w:color w:val="3A4A28"/>
          <w:sz w:val="17"/>
        </w:rPr>
        <w:t>Stryker ESG profile and corporate responsibility — VP Buckley leadership, comprehensive reporting, Handala cyberattack incident — stryker.com, industry reports</w:t>
      </w:r>
    </w:p>
    <w:p>
      <w:pPr>
        <w:spacing w:before="20" w:after="20"/>
        <w:ind w:left="170"/>
      </w:pPr>
      <w:r>
        <w:rPr>
          <w:rFonts w:ascii="Calibri" w:hAnsi="Calibri"/>
          <w:b/>
          <w:color w:val="4A6B25"/>
          <w:sz w:val="15"/>
        </w:rPr>
        <w:t xml:space="preserve">4. </w:t>
      </w:r>
      <w:r>
        <w:rPr>
          <w:rFonts w:ascii="Calibri" w:hAnsi="Calibri"/>
          <w:b w:val="0"/>
          <w:color w:val="3A4A28"/>
          <w:sz w:val="17"/>
        </w:rPr>
        <w:t>Stryker insider trading activity — zero purchases vs 35 sales in 6 months, Ronda Stryker 1.02M shares ($366M), VP Berry sales — QuiverQuantitative, MarketBeat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SYK (Stryker),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