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TAK</w:t>
      </w:r>
      <w:r>
        <w:rPr>
          <w:rFonts w:ascii="Calibri" w:hAnsi="Calibri"/>
          <w:b/>
          <w:color w:val="1A2010"/>
          <w:sz w:val="40"/>
        </w:rPr>
        <w:t xml:space="preserve">  Takeda Pharmaceutical Company Limited</w:t>
      </w:r>
    </w:p>
    <w:p>
      <w:pPr>
        <w:spacing w:after="120"/>
      </w:pPr>
      <w:r>
        <w:rPr>
          <w:rFonts w:ascii="Calibri" w:hAnsi="Calibri"/>
          <w:b/>
          <w:color w:val="6E8450"/>
          <w:sz w:val="18"/>
        </w:rPr>
        <w:t>DIVIDEND SLEEVE · 2026-04-10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Japan</w:t>
      </w:r>
    </w:p>
    <w:p>
      <w:pPr>
        <w:spacing w:after="80"/>
      </w:pPr>
      <w:r>
        <w:rPr>
          <w:rFonts w:ascii="Calibri" w:hAnsi="Calibri"/>
          <w:b w:val="0"/>
          <w:color w:val="3A4A28"/>
          <w:sz w:val="20"/>
        </w:rPr>
        <w:t>Takeda Pharmaceutical is Japan's largest pharmaceutical company and a global top-10 biopharmaceutical company, operating across five core therapeutic areas: gastroenterology (Entyvio), rare diseases (Elaprase, Takhzyro), plasma-derived therapies (Gammagard, Flexbumin), oncology (Ninlaro, FRUZAQLA), and neuroscience (Vyvanse/Elvanse, Trintellix). Founded in 1781, Takeda is headquartered in Tokyo with operations in over 80 countries and annual revenue of approximately ¥4.6 trillion ($30B).</w:t>
      </w:r>
    </w:p>
    <w:p>
      <w:r>
        <w:rPr>
          <w:rFonts w:ascii="Calibri" w:hAnsi="Calibri"/>
          <w:b/>
          <w:color w:val="6E8450"/>
          <w:sz w:val="18"/>
        </w:rPr>
        <w:t>47,455 Employees · https://www.takeda.com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Takeda has grown revenue from ¥3.57T in FY2022 to ¥4.58T in FY2025 (3-year CAGR of 8.7%), driven by the Entyvio franchise in gastroenterology and plasma-derived therapies expansion [1]. The 2019 Shire acquisition ($62B) was transformative, creating a global rare disease and plasma business, though integration challenges persisted for years. Revenue growth in FY2025 was 7.5% but the most recent Q3 showed deceleration with a 2.8% decline at constant exchange rates. AI Deployment (1/2): Takeda is actively deploying AI across drug discovery (partnership with BenevolentAI), clinical trial optimization, and commercial operations (Salesforce Life Sciences Cloud with AI-driven CRM). The company eliminated its traditional IT department in favor of a data-and-digital organization, signaling genuine AI integration [2]. Market Share (1/2): Takeda is the global leader in plasma-derived therapies and has leading positions in GI (Entyvio) and rare diseases, though it faces biosimilar competition on Entyvio starting 2025-2026 [1]. Pipeline (1/2): Three NDAs submitted or planned — oveporexton, rusfertide, and zasocitinib — each with multibillion-dollar peak revenue potential, providing meaningful pipeline visibility [1]. However, near-term revenue is under pressure from Entyvio biosimilar competition. R&amp;D Intensity (1/1): R&amp;D spending is substantial relative to revenue, with a diversified pipeline across oncology, neuroscience, and rare diseases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Takeda's purpose — 'to discover and deliver life-transforming treatments, guided by our commitment to patients, our people, and the planet' — is specific, thoughtful, and anchored in the company's 245-year history. The Takeda-ism values (Integrity, Fairness, Honesty, Perseverance) have been passed down since 1781, providing an unusually deep cultural foundation that connects the company's work to patient outcomes through centuries of consistent execution [2]. Community Impact (2/2): Takeda has significant global health impact through its plasma-derived therapies that serve rare disease patients with no alternatives, its QDENGA dengue vaccine for developing nations, and its Global CSR program supporting health infrastructure in underserved communities. The company employs 47,455 people across 80+ countries and has committed to carbon neutrality by 2040 [3]. Employee Retention (1/2): Takeda has a 4.0/5 Glassdoor rating based on 5,142+ reviews, above average for a large pharmaceutical company. Culture is described as collaborative with strong benefits, though some reviews note risk-aversion, frequent reorganizations, and layoff concerns post-Shire integration [2]. Insider Buying (1/2): No insider transaction data available for TAK ADR. CEO Christophe Weber has led the company since 2015 with significant equity exposure through compensation. Leadership transition to Julie Kim as CEO effective April 2026 suggests planned succession rather than disruption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Takeda's financial profile reflects a large pharmaceutical company carrying significant Shire-acquisition legacy debt. D/E of 70.9% is at the target threshold, with ¥5.4T total debt offset by ¥655B cash [4]. ROE of just 1.5% is critically low due to ¥107.9B net income on a large equity base (profit margin only 2.5%), reflecting elevated costs from restructuring and integration. Revenue grew 7.5% YoY to ¥4.58T with a 3-year CAGR of 8.7%, both near the 10% target, though recent quarters show deceleration. Forward P/E of 34.8x is expensive given the low growth trajectory. The payout ratio of 279% is unsustainable on a GAAP basis, though management views the dividend as sustainable based on core operating profit and cash flows (¥1.19T operating cash flow in FY2025). Takeda has paid dividends for 35+ consecutive years, a strong point, and has been growing the dividend recently (¥188 per share in FY2025 vs. ¥180 prior). The 5-year dividend growth CAGR of approximately 5% is decent but below the 6% target. Liquidity is adequate at $57M daily trading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Takeda is one of the most natural infinite game players in pharma — a 245-year-old company guided by values (Takeda-ism) established in 1781. The company's willingness to make the transformative $62B Shire acquisition to build a global rare disease platform, combined with a planned CEO succession from Christophe Weber to Julie Kim, demonstrates institutional continuity and long-term strategic thinking. However, the near-term financial pressure (2.5% profit margin, 279% payout ratio) and frequent reorganizations since the Shire deal create tension between infinite aspirations and finite-game financial realities.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Takeda's Just Cause is among the strongest in global pharma. The company's 245-year history, anchored in the Takeda-ism values of Integrity, Fairness, Honesty, and Perseverance established in 1781, provides a multi-century validated purpose [2]. The mission to 'discover and deliver life-transforming treatments' has survived multiple leadership transitions, world wars, industry disruptions, and the massive Shire integration. Strategic decisions consistently trace back to patient impact — the Shire acquisition was motivated by building a global rare disease platform to serve underserved patients, not financial engineering. Sinek would cite Takeda's 245-year continuity as a gold standard. Just Cause points: 3/3.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Takeda's 4.0/5 Glassdoor rating and collaborative culture are positive signals for a 47,455-employee global organization [2]. The Takeda-ism values create a cultural framework that employees reference, and the company's emphasis on patient-centricity provides shared purpose. However, reviews note risk-aversion that slows innovation, multiple reorganizations and layoffs since the Shire acquisition, and concerns about senior leadership sensitivity to workforce reductions. The planned CEO transition to Julie Kim suggests institutional continuity but also introduces change uncertainty. Trusting Teams points: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Takeda operates in a competitive landscape alongside Roche, Novartis, AbbVie, and Johnson &amp; Johnson, and the company's approach emphasizes building its own pipeline capabilities through partnerships (BenevolentAI, Exelixis, Arrowhead) and acquisitions rather than destructive competitive warfare [1]. Management commentary at JPM26 focused on pipeline innovation and patient access rather than market share battles. Worthy Rivals points: 1/1.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Takeda's $62B Shire acquisition in 2019 was a transformative strategic bet that fundamentally reshaped the company from a Japan-centric pharma into a global biopharmaceutical leader with world-class rare disease and plasma capabilities [1]. This represents genuine existential flexibility — the company bet its balance sheet on a future vision. The ongoing digital transformation (eliminating the IT department, deploying AI across drug discovery) shows continued adaptation. However, the financial hangover from Shire (high debt, low margins) tempers the score. Existential Flexibility points: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Shire acquisition required extraordinary courage — taking on $62B in acquisition cost and significant debt to build a global rare disease platform when the market was skeptical [1]. CEO Weber's willingness to maintain the dividend through a period of depressed GAAP earnings (279% payout ratio) while investing in pipeline demonstrates conviction in the long-term plan. The planned succession to Julie Kim, announced well in advance, shows disciplined leadership planning. However, the frequent reorganizations and risk-averse culture described by employees suggest leadership sometimes struggles to balance courage with organizational stability [2]. Courage to Lead points: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Takeda is a 245-year-old global biopharmaceutical company with a diversified portfolio across gastroenterology (Entyvio), rare diseases (Elaprase, Takhzyro), plasma-derived therapies (Gammagard, Flexbumin), and a promising pipeline with three NDA-stage candidates (oveporexton, rusfertide, zasocitinib) each with multibillion-dollar peak revenue potential [1]. Revenue grew 7.5% YoY to ¥4.58T in FY2025 with a 3-year CAGR of 8.7%, and the company generates ¥1.19T in operating cash flow supporting both dividend payments (3.6% yield) and pipeline investment. At $18.46 per ADR with a $58.3B market cap, the stock trades at only 0.67x trailing P/S, reflecting deep value for a top-10 global pharma company with defensive characteristics (beta of 0.13) and planned CEO succession to Julie Kim in April 2026 [2][4].</w:t>
      </w:r>
    </w:p>
    <w:p>
      <w:pPr>
        <w:spacing w:after="120"/>
      </w:pPr>
      <w:r>
        <w:rPr>
          <w:rFonts w:ascii="Calibri" w:hAnsi="Calibri"/>
          <w:b w:val="0"/>
          <w:color w:val="3A4A28"/>
          <w:sz w:val="20"/>
        </w:rPr>
        <w:t>The bear case centers on profitability erosion, biosimilar competition, and balance sheet leverage. GAAP net income was only ¥107.9B in FY2025 (profit margin 2.5%) with ROE of just 1.5%, reflecting persistent integration costs and restructuring charges from the Shire deal seven years later [4]. The GAAP payout ratio of 279% is unsustainable absent significant earnings recovery. Entyvio, Takeda's largest franchise, faces biosimilar competition beginning in 2025-2026, threatening the company's most profitable revenue stream. Forward P/E of 34.8x is expensive for a company guiding to low-single-digit core revenue declines. D/E of 70.9% leaves limited financial flexibility if the pipeline candidates fail or biosimilar erosion accelerates. The most recent quarter showed a 2.8% revenue decline at constant exchange rates, suggesting the growth narrative may be deteriorating. Frequent reorganizations and layoffs since the Shire acquisition have created organizational fatigue that could impair execution on pipeline development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NDA-stage pipeline candidates — oveporexton, rusfertide, and zasocitinib — each with multibillion-dollar peak revenue potential and expected launches within 18 months, providing a credible growth bridge through Entyvio biosimilar erosion [1]</w:t>
      </w:r>
    </w:p>
    <w:p>
      <w:pPr>
        <w:spacing w:before="40" w:after="40"/>
        <w:ind w:left="283"/>
      </w:pPr>
      <w:r>
        <w:rPr>
          <w:rFonts w:ascii="Calibri" w:hAnsi="Calibri"/>
          <w:b/>
          <w:color w:val="4A6B25"/>
          <w:sz w:val="20"/>
        </w:rPr>
        <w:t xml:space="preserve">2. </w:t>
      </w:r>
      <w:r>
        <w:rPr>
          <w:rFonts w:ascii="Calibri" w:hAnsi="Calibri"/>
          <w:b w:val="0"/>
          <w:color w:val="3A4A28"/>
          <w:sz w:val="20"/>
        </w:rPr>
        <w:t>CEO succession to Julie Kim (effective April 2026) with organizational restructuring aimed at simplicity, speed, and efficiency could unlock operational improvements and margin recovery [2]</w:t>
      </w:r>
    </w:p>
    <w:p>
      <w:pPr>
        <w:spacing w:before="40" w:after="40"/>
        <w:ind w:left="283"/>
      </w:pPr>
      <w:r>
        <w:rPr>
          <w:rFonts w:ascii="Calibri" w:hAnsi="Calibri"/>
          <w:b/>
          <w:color w:val="4A6B25"/>
          <w:sz w:val="20"/>
        </w:rPr>
        <w:t xml:space="preserve">3. </w:t>
      </w:r>
      <w:r>
        <w:rPr>
          <w:rFonts w:ascii="Calibri" w:hAnsi="Calibri"/>
          <w:b w:val="0"/>
          <w:color w:val="3A4A28"/>
          <w:sz w:val="20"/>
        </w:rPr>
        <w:t>Plasma-derived therapies franchise provides a structurally defensible revenue stream with high barriers to entry (physical collection infrastructure), growing demand from aging populations, and limited biosimilar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Entyvio biosimilar competition beginning in 2025-2026 threatens Takeda's largest and most profitable franchise, with potential for rapid revenue erosion that pipeline launches may not fully offset [1]</w:t>
      </w:r>
    </w:p>
    <w:p>
      <w:pPr>
        <w:spacing w:before="40" w:after="40"/>
        <w:ind w:left="283"/>
      </w:pPr>
      <w:r>
        <w:rPr>
          <w:rFonts w:ascii="Calibri" w:hAnsi="Calibri"/>
          <w:b/>
          <w:color w:val="4A6B25"/>
          <w:sz w:val="20"/>
        </w:rPr>
        <w:t xml:space="preserve">2. </w:t>
      </w:r>
      <w:r>
        <w:rPr>
          <w:rFonts w:ascii="Calibri" w:hAnsi="Calibri"/>
          <w:b w:val="0"/>
          <w:color w:val="3A4A28"/>
          <w:sz w:val="20"/>
        </w:rPr>
        <w:t>Persistently low GAAP profitability — 2.5% profit margin, 1.5% ROE, and 279% payout ratio seven years post-Shire acquisition raises questions about whether integration synergies will ever fully materialize [4]</w:t>
      </w:r>
    </w:p>
    <w:p>
      <w:pPr>
        <w:spacing w:before="40" w:after="40"/>
        <w:ind w:left="283"/>
      </w:pPr>
      <w:r>
        <w:rPr>
          <w:rFonts w:ascii="Calibri" w:hAnsi="Calibri"/>
          <w:b/>
          <w:color w:val="4A6B25"/>
          <w:sz w:val="20"/>
        </w:rPr>
        <w:t xml:space="preserve">3. </w:t>
      </w:r>
      <w:r>
        <w:rPr>
          <w:rFonts w:ascii="Calibri" w:hAnsi="Calibri"/>
          <w:b w:val="0"/>
          <w:color w:val="3A4A28"/>
          <w:sz w:val="20"/>
        </w:rPr>
        <w:t>Pipeline execution risk — if oveporexton, rusfertide, or zasocitinib underperform in clinical trials or commercial launch, the company has no near-term offset for Entyvio biosimilar erosion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Takeda's core pharmaceutical business is PROTECTED from AI disruption. Drug manufacturing, regulatory approval, physician relationships, and the physical delivery of plasma-derived therapies involve deeply regulated, capital-intensive processes that AI cannot replace [2]. The company's plasma collection network (BioLife) is a physical infrastructure moat — AI cannot collect blood plasma. However, AI-powered drug discovery could accelerate competitive pipeline development from emerging biotech companies, and AI tools could partially automate portions of clinical development and commercial operations. Takeda faces the same industry-wide exposure as all pharma companies to AI-native drug discovery platforms, but the company's diversified portfolio and plasma business provide meaningful defensive moats. AI Opportunity (1/1): Takeda is generating value from AI through its BenevolentAI drug discovery partnership, AI-driven clinical trial optimization, Salesforce AI-powered CRM deployment, and internal digital transformation that eliminated the traditional IT department in favor of a data-and-digital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Takeda Q3 FY2025 Earnings Release — ¥4.58T revenue, ¥107.9B net income, pipeline update with three NDA-stage candidates, January 2026</w:t>
      </w:r>
    </w:p>
    <w:p>
      <w:pPr>
        <w:spacing w:before="20" w:after="20"/>
        <w:ind w:left="170"/>
      </w:pPr>
      <w:r>
        <w:rPr>
          <w:rFonts w:ascii="Calibri" w:hAnsi="Calibri"/>
          <w:b/>
          <w:color w:val="4A6B25"/>
          <w:sz w:val="15"/>
        </w:rPr>
        <w:t xml:space="preserve">2. </w:t>
      </w:r>
      <w:r>
        <w:rPr>
          <w:rFonts w:ascii="Calibri" w:hAnsi="Calibri"/>
          <w:b w:val="0"/>
          <w:color w:val="3A4A28"/>
          <w:sz w:val="17"/>
        </w:rPr>
        <w:t>Takeda Corporate Website — Leadership transition (Julie Kim as CEO-Elect), AI strategy, culture, Takeda-ism values,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Takeda Sustainability Disclosures — ESG reporting, carbon neutrality commitment, Sustainalytics ESG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TAK (Takeda Pharmaceutical),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