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TALO</w:t>
      </w:r>
      <w:r>
        <w:rPr>
          <w:rFonts w:ascii="Calibri" w:hAnsi="Calibri"/>
          <w:b/>
          <w:color w:val="1A2010"/>
          <w:sz w:val="40"/>
        </w:rPr>
        <w:t xml:space="preserve">  Talos Energy, Inc.</w:t>
      </w:r>
    </w:p>
    <w:p>
      <w:pPr>
        <w:spacing w:after="120"/>
      </w:pPr>
      <w:r>
        <w:rPr>
          <w:rFonts w:ascii="Calibri" w:hAnsi="Calibri"/>
          <w:b/>
          <w:color w:val="6E8450"/>
          <w:sz w:val="18"/>
        </w:rPr>
        <w:t>GROWTH SLEEVE · 2026-04-16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Talos Energy Inc. is an independent oil and gas exploration and production company focused on the U.S. Gulf of Mexico and offshore Mexico. The company operates through its Upstream segment following the divestiture of its Carbon Capture and Sequestration business to TotalEnergies in 2024, producing approximately 85-90 MBoe/d with oil representing ~73% of volumes.</w:t>
      </w:r>
    </w:p>
    <w:p>
      <w:r>
        <w:rPr>
          <w:rFonts w:ascii="Calibri" w:hAnsi="Calibri"/>
          <w:b/>
          <w:color w:val="6E8450"/>
          <w:sz w:val="18"/>
        </w:rPr>
        <w:t>700 Employees · https://www.talosenergy.com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Talos built and then divested a first-mover CCS (carbon capture and sequestration) business to TotalEnergies for $148M in 2024, demonstrating entrepreneurial capability but ultimately exiting the most innovative part of the portfolio [2]. The core upstream business has been built through acquisition — the QuarterNorth Energy merger in early 2024 significantly expanded Gulf of Mexico production — but acquisition-driven growth is not innovation. AI Deployment (0/2): No evidence of AI-powered products, AI-driven cost savings, or AI strategy in public disclosures; Talos operates conventional offshore oil and gas with standard industry technology [2]. Market Share (1/2): Talos is a meaningful independent operator in the U.S. Gulf of Mexico, a niche but important basin, with growing production of 85-90 MBoe/d and significant shelf and deepwater acreage; however, it is a small player relative to majors like Shell and BP that also operate in the Gulf [1]. Pipeline (1/2): The Monument multi-well development project and ongoing exploration/appraisal program provide production growth visibility, with 2026 guidance of 62-66 MBo/d oil production (up from ~60 MBo/d), but these are standard E&amp;P development activities rather than breakthrough products [1]. R&amp;D Intensity (1/1): Talos invests meaningfully in subsurface technology and exploration capabilities relative to small-cap E&amp;P peers, evidenced by successful exploration track record and CCS technology development (now divested)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Talos Energy's purpose is framed around 'responsibly producing energy' — generic for an oil and gas company and interchangeable with most E&amp;P peers; there is no distinctive articulation of why the company exists beyond extracting hydrocarbons [2]. Community Impact (1/2): Talos publishes sustainability reports and has ESG-driven metrics accounting for 20% of management's annual incentive plan, with specific emissions reduction and safety initiatives; the company achieved Scope 1 &amp; 2 GHG intensity 46% below the XOP index average [3]. However, no specific foundation or community charitable programs beyond standard industry practices were identified. Employee Retention (1/2): Talos is a 700-person company with an 'entrepreneurial culture' cited by executives and board declassification in 2025 demonstrating governance improvement [2]. The small team size suggests close-knit organizational dynamics, but no specific retention metrics, tenure data, or employee satisfaction evidence was found. Insider Buying (1/2): Mixed signals — 10% beneficial owner Control Empresarial de Capitales sold 2.3M shares ($38.5M) in March 2026, a significant disposal, while CEO Goodfellow and officers received stock awards. The large insider sale outweighs equity-based compensation signals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Talos has a clean balance sheet relative to E&amp;P peers with D/E of 62.4% (scoring 1.0), the one standout metric [4]. However, profitability metrics are severely negative: ROE of -20.1%, profit margin of -27.8%, and forward EPS of -$0.49, all scoring zero [4]. The negative profitability reflects $494M in impairments and write-downs in FY2025 that overwhelmed $420M in free cash flow generation; on an adjusted basis the company is operationally profitable but GAAP metrics are distressed [1]. Revenue declined 19.2% YoY (scoring 0.03) as lower commodity prices offset production gains from the QuarterNorth acquisition, while the 3-year CAGR of 2.5% provides moderate support (scoring 0.50) [1]. Forward P/E is negative (excluded as loss-making). PEG not available (excluded). Liquidity floor easily cleared at $36.5M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Talos Energy operates with an entrepreneurial mindset typical of small-cap E&amp;P companies — nimble, deal-driven, and focused on capital allocation rather than a transformative vision for energy's future. The divestiture of the CCS business to TotalEnergies was pragmatic (monetizing a non-core asset) but also represented abandoning the company's most forward-looking initiative. Leadership under CEO Tim Duncan has been consistent, and the company's Gulf of Mexico focus provides strategic clarity, but the absence of a compelling long-term cause beyond 'produce oil efficiently' limits infinite-game scoring.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Talos's purpose of 'responsibly producing energy' is generic and interchangeable with most E&amp;P companies — it describes what the company does rather than articulating a vision of a better future [2]. The CCS business could have anchored a distinctive Just Cause around energy transition, but Talos chose to sell it to TotalEnergies for $148M, signaling that the energy transition purpose was not central to the company's identity [2]. What remains is a conventional oil and gas producer without a differentiated 'why.'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Talos's small size (700 employees) and entrepreneurial culture create organizational intimacy that typically fosters trust within teams [2]. CEO Tim Duncan has led the company since 2012, providing over a decade of leadership continuity. Board declassification in 2025 improved governance transparency. However, no specific evidence of exceptional employee empowerment, retention metrics, or cultural practices was found beyond executive testimonials about culture [2][3].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Talos operates in the Gulf of Mexico alongside majors (Shell, BP, Chevron) and other independents (W&amp;T Offshore, Murphy Oil), but the company's competitive narrative focuses on its own operational execution and capital allocation rather than learning from rivals' strengths [1]. The acquisition-driven growth strategy (QuarterNorth merger) is more about accumulating assets than improving capabilities through competitive pressure.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Talos demonstrated existential flexibility by building a first-mover CCS business from scratch — identifying Gulf Coast sequestration opportunities, securing permits, and building a dedicated team [2]. However, the decision to sell this business to TotalEnergies in 2024 for $148M represents a retreat from flexibility back to the core E&amp;P model. The QuarterNorth acquisition was a scale play, not a transformative pivot. The company has the entrepreneurial DNA for flexibility but has chosen to remain a conventional E&amp;P.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CCS business creation demonstrated courage — investing in unproven carbon sequestration technology while being a small-cap E&amp;P company required conviction beyond quarterly earnings [2]. CEO Duncan's decade-plus tenure provides leadership stability. However, the CCS divestiture and subsequent focus on conventional oil production suggest the company chose the safer path over the courageous long-term bet. The $500-550M capex program in 2026 during commodity price uncertainty shows some willingness to invest through cycles [1].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Talos Energy is a pure-play Gulf of Mexico E&amp;P with an attractive asset base, generating $420M in free cash flow in FY2025 and returning $120M to shareholders while reducing debt [1]. Production guidance of 85-90 MBoe/d for 2026 (73% oil) provides high-margin revenue in a $60-70/bbl oil environment, and the Monument development project offers multi-year production growth visibility [1]. D/E of 62.4% is conservative for an E&amp;P, and the stock trades at $2.4B market cap versus significant proved reserve value. The company's Gulf of Mexico focus benefits from proximity to refining infrastructure, established regulatory framework, and limited competition for shelf assets as majors focus on deepwater and shale. At $14.37, the stock offers significant upside if oil prices stabilize and GAAP impairments normalize.</w:t>
      </w:r>
    </w:p>
    <w:p>
      <w:pPr>
        <w:spacing w:after="120"/>
      </w:pPr>
      <w:r>
        <w:rPr>
          <w:rFonts w:ascii="Calibri" w:hAnsi="Calibri"/>
          <w:b w:val="0"/>
          <w:color w:val="3A4A28"/>
          <w:sz w:val="20"/>
        </w:rPr>
        <w:t>The bear case is substantial: GAAP net loss of $494M in FY2025 produced negative profit margin of -27.8% and ROE of -20.1%, reflecting massive impairments that erode book value and signal asset quality concerns [4]. Revenue declined 19.2% YoY as lower commodity prices overwhelmed production growth from the QuarterNorth merger, highlighting extreme commodity price sensitivity [1]. Forward EPS is negative (-$0.49), meaning the market expects continued losses. The $38.5M insider sale by 10%+ owner Control Empresarial de Capitales in March 2026 is a significant bearish signal [4]. The CCS divestiture removed the company's most differentiated asset, leaving a conventional E&amp;P competing on operational execution alone. The Gulf of Mexico faces ongoing hurricane risk, aging infrastructure maintenance costs ($100-130M P&amp;A expenditures in 2026), and regulatory uncertainty around offshore drilling permits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Monument multi-well development project and exploration program driving production growth toward the upper end of 85-90 MBoe/d guidance, with oil mix increasing to 73% [1]</w:t>
      </w:r>
    </w:p>
    <w:p>
      <w:pPr>
        <w:spacing w:before="40" w:after="40"/>
        <w:ind w:left="283"/>
      </w:pPr>
      <w:r>
        <w:rPr>
          <w:rFonts w:ascii="Calibri" w:hAnsi="Calibri"/>
          <w:b/>
          <w:color w:val="4A6B25"/>
          <w:sz w:val="20"/>
        </w:rPr>
        <w:t xml:space="preserve">2. </w:t>
      </w:r>
      <w:r>
        <w:rPr>
          <w:rFonts w:ascii="Calibri" w:hAnsi="Calibri"/>
          <w:b w:val="0"/>
          <w:color w:val="3A4A28"/>
          <w:sz w:val="20"/>
        </w:rPr>
        <w:t>Continued deleveraging from $420M+ annual free cash flow generation enabling share repurchases, debt reduction, and potential dividend initiation that could re-rate the equity [1]</w:t>
      </w:r>
    </w:p>
    <w:p>
      <w:pPr>
        <w:spacing w:before="40" w:after="40"/>
        <w:ind w:left="283"/>
      </w:pPr>
      <w:r>
        <w:rPr>
          <w:rFonts w:ascii="Calibri" w:hAnsi="Calibri"/>
          <w:b/>
          <w:color w:val="4A6B25"/>
          <w:sz w:val="20"/>
        </w:rPr>
        <w:t xml:space="preserve">3. </w:t>
      </w:r>
      <w:r>
        <w:rPr>
          <w:rFonts w:ascii="Calibri" w:hAnsi="Calibri"/>
          <w:b w:val="0"/>
          <w:color w:val="3A4A28"/>
          <w:sz w:val="20"/>
        </w:rPr>
        <w:t>Oil price recovery above $70/bbl normalizing GAAP profitability and reversing FY2025 impairments, with Gulf of Mexico production benefiting from premium pricing due to proximity to U.S. refining infrastructure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commodity price sensitivity — revenue declined 19.2% on lower oil prices despite production growth, and further price weakness would compress free cash flow and extend GAAP losses [1]</w:t>
      </w:r>
    </w:p>
    <w:p>
      <w:pPr>
        <w:spacing w:before="40" w:after="40"/>
        <w:ind w:left="283"/>
      </w:pPr>
      <w:r>
        <w:rPr>
          <w:rFonts w:ascii="Calibri" w:hAnsi="Calibri"/>
          <w:b/>
          <w:color w:val="4A6B25"/>
          <w:sz w:val="20"/>
        </w:rPr>
        <w:t xml:space="preserve">2. </w:t>
      </w:r>
      <w:r>
        <w:rPr>
          <w:rFonts w:ascii="Calibri" w:hAnsi="Calibri"/>
          <w:b w:val="0"/>
          <w:color w:val="3A4A28"/>
          <w:sz w:val="20"/>
        </w:rPr>
        <w:t>Large insider selling by 10%+ owner Control Empresarial de Capitales ($38.5M in March 2026) signals reduced conviction by the company's largest shareholder [4]</w:t>
      </w:r>
    </w:p>
    <w:p>
      <w:pPr>
        <w:spacing w:before="40" w:after="40"/>
        <w:ind w:left="283"/>
      </w:pPr>
      <w:r>
        <w:rPr>
          <w:rFonts w:ascii="Calibri" w:hAnsi="Calibri"/>
          <w:b/>
          <w:color w:val="4A6B25"/>
          <w:sz w:val="20"/>
        </w:rPr>
        <w:t xml:space="preserve">3. </w:t>
      </w:r>
      <w:r>
        <w:rPr>
          <w:rFonts w:ascii="Calibri" w:hAnsi="Calibri"/>
          <w:b w:val="0"/>
          <w:color w:val="3A4A28"/>
          <w:sz w:val="20"/>
        </w:rPr>
        <w:t>Gulf of Mexico operational risks including hurricane disruption, aging infrastructure requiring $100-130M in P&amp;A expenditures annually, and regulatory uncertainty around offshore drilling permits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Talos Energy's core business — offshore oil and gas exploration and production in the Gulf of Mexico — is an irreducibly physical operation that AI cannot displace [1]. Finding, drilling, and producing hydrocarbons from deepwater and shelf formations requires massive capital infrastructure (platforms, pipelines, subsea completions), specialized geological expertise, and regulatory permits (BOEM, EPA) that create structural barriers to AI substitution. Global oil demand remains essential for transportation, petrochemicals, and industrial processes regardless of AI advancement. AI may actually increase energy demand as data centers proliferate — each AI training run and inference query requires electricity, much of it still generated from natural gas [1]. No analysts have flagged AI as a disruption risk for offshore E&amp;P. AI Opportunity (0/1): No evidence of AI-generated revenue or AI products. Talos uses standard industry technology for subsurface modeling and drilling optimization but does not sell AI solutions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Talos Energy Q4/FY2025 Earnings Release — $1.78B revenue, $420M FCF, production guidance 85-90 MBoe/d, $500-550M capex, February 2026</w:t>
      </w:r>
    </w:p>
    <w:p>
      <w:pPr>
        <w:spacing w:before="20" w:after="20"/>
        <w:ind w:left="170"/>
      </w:pPr>
      <w:r>
        <w:rPr>
          <w:rFonts w:ascii="Calibri" w:hAnsi="Calibri"/>
          <w:b/>
          <w:color w:val="4A6B25"/>
          <w:sz w:val="15"/>
        </w:rPr>
        <w:t xml:space="preserve">2. </w:t>
      </w:r>
      <w:r>
        <w:rPr>
          <w:rFonts w:ascii="Calibri" w:hAnsi="Calibri"/>
          <w:b w:val="0"/>
          <w:color w:val="3A4A28"/>
          <w:sz w:val="17"/>
        </w:rPr>
        <w:t>Talos Energy leadership — CEO Tim Duncan, CCS divestiture to TotalEnergies for $148M, entrepreneurial culture, QuarterNorth acquisition</w:t>
      </w:r>
    </w:p>
    <w:p>
      <w:pPr>
        <w:spacing w:before="20" w:after="20"/>
        <w:ind w:left="170"/>
      </w:pPr>
      <w:r>
        <w:rPr>
          <w:rFonts w:ascii="Calibri" w:hAnsi="Calibri"/>
          <w:b/>
          <w:color w:val="4A6B25"/>
          <w:sz w:val="15"/>
        </w:rPr>
        <w:t xml:space="preserve">3. </w:t>
      </w:r>
      <w:r>
        <w:rPr>
          <w:rFonts w:ascii="Calibri" w:hAnsi="Calibri"/>
          <w:b w:val="0"/>
          <w:color w:val="3A4A28"/>
          <w:sz w:val="17"/>
        </w:rPr>
        <w:t>Talos Energy ESG — MSCI 'A' rating, Scope 1&amp;2 GHG intensity 46% below XOP average, 20% ESG-linked management compensation, sustainability report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TALO (Talos Energy, Inc.),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