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TARA</w:t>
      </w:r>
      <w:r>
        <w:rPr>
          <w:rFonts w:ascii="Calibri" w:hAnsi="Calibri"/>
          <w:b/>
          <w:color w:val="1A2010"/>
          <w:sz w:val="40"/>
        </w:rPr>
        <w:t xml:space="preserve">  Protara Therapeutics, Inc.</w:t>
      </w:r>
    </w:p>
    <w:p>
      <w:pPr>
        <w:spacing w:after="120"/>
      </w:pPr>
      <w:r>
        <w:rPr>
          <w:rFonts w:ascii="Calibri" w:hAnsi="Calibri"/>
          <w:b/>
          <w:color w:val="6E8450"/>
          <w:sz w:val="18"/>
        </w:rPr>
        <w:t>GROWTH SLEEVE · 2026-05-02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Protara Therapeutics is a clinical-stage biopharmaceutical company developing transformative therapies for cancer and rare diseases. Lead programs include TARA-002, an investigational cell therapy for non-muscle invasive bladder cancer and lymphatic malformations, and IV Choline Chloride, a phospholipid substrate replacement therapy.</w:t>
      </w:r>
    </w:p>
    <w:p>
      <w:r>
        <w:rPr>
          <w:rFonts w:ascii="Calibri" w:hAnsi="Calibri"/>
          <w:b/>
          <w:color w:val="6E8450"/>
          <w:sz w:val="18"/>
        </w:rPr>
        <w:t>46 Employees · https://www.protaratx.com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Protara is advancing differentiated clinical-stage assets in underserved indications — TARA-002 (OK-432/Picibanil cell therapy) targets non-muscle invasive bladder cancer and lymphatic malformations, while IV Choline Chloride addresses a rare metabolic deficiency [1]. The pipeline addresses genuine unmet medical needs with novel mechanisms. However, the company has no approved products, no revenue, and clinical programs remain in late-stage development with interim data expected H2 2026, creating substantial binary risk.</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Named BioSpace 2026 Best Places to Work with perfect 5.0/5 Glassdoor ratings for culture, diversity, work-life balance, senior management, and career opportunities [2]. CEO Jesse Shefferman has led since inception and co-founded the company, creating a mission-driven culture described as 'kind, team-oriented, intelligent and driven' [2]. Only 46 employees but achieving exceptional cultural cohesion rare in biotech — this reflects genuine inspirational leadership rather than default small-team intimacy.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Pre-revenue clinical-stage company with zero product sales, -31.6% ROE, and projected losses of $58-98M in 2026 [1][3]. Cash position of $155.6M provides approximately 2-3 years of runway at current burn rate, but no path to near-term profitability. Market cap of $293M is entirely speculative option value on clinical programs. D/E of only 1.7% shows minimal leverage. Liquidity: 908K avg volume x $5.32 = $4.8M, above $1M floor but thin.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Protara demonstrates genuine patient-first mission orientation and exceptional workplace culture under founder-CEO Shefferman, but the binary nature of clinical-stage drug development and finite cash runway create inherent tension with infinite game principles.</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Developing therapies for cancer patients who have failed existing treatments (BCG-unresponsive bladder cancer) and children with lymphatic malformations represents a deeply purpose-driven mission [1]. CEO Shefferman's founding vision and 5+ year commitment to these underserved populations demonstrates genuine dedication beyond financial returns. BioSpace Best Places to Work recognition reflects culture built on patient impact [2].</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Perfect 5.0/5 Glassdoor scores across all categories including senior management and culture with employees describing the team as 'kind, team-oriented, intelligent and driven' [2]. Appointment of a dedicated Chief People Officer (Shane Williams, Ph.D.) in 2025 for a 46-person company signals exceptional investment in people and culture, validated by BioSpace 2026 Best Places to Work award.</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Operating in niche clinical-stage spaces with limited direct competition for their specific indications. BCG-unresponsive bladder cancer has few competing programs, which reduces competitive learning opportunities. The company's small size and focused pipeline limit cross-pollination from rival approaches or industry positioning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pivoted from its original identity (formerly ArTara Therapeutics) to Protara with an expanded oncology and rare disease focus, showing some adaptability [1]. However, as a 46-person clinical-stage company with finite cash runway, true existential flexibility is constrained — major pipeline failures would likely require transformative deals rather than organic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Founder-CEO Shefferman chose to pursue underserved cancer and rare disease indications rather than faster-to-market opportunities, demonstrating conviction [1][2]. Building an award-winning 46-person culture while managing clinical-stage uncertainty shows leadership courage. However, the company's recent proxy seeking additional share authorization and officer protections raises minor governance questions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Protara is a high-conviction clinical-stage biotech with exceptional workplace culture and differentiated pipeline targeting BCG-unresponsive bladder cancer (large addressable market) and lymphatic malformations (rare disease with orphan potential). At $293M market cap with $156M cash, the stock offers asymmetric upside if TARA-002 interim data in H2 2026 demonstrates efficacy in a patient population with limited alternatives.</w:t>
      </w:r>
    </w:p>
    <w:p>
      <w:pPr>
        <w:spacing w:after="120"/>
      </w:pPr>
      <w:r>
        <w:rPr>
          <w:rFonts w:ascii="Calibri" w:hAnsi="Calibri"/>
          <w:b w:val="0"/>
          <w:color w:val="3A4A28"/>
          <w:sz w:val="20"/>
        </w:rPr>
        <w:t>The primary risk is the classic clinical-stage binary — negative trial data would devastate the stock, and projected losses of $58-98M annually will deplete the $156M cash position within 2-3 years, likely requiring dilutive financing [1][3]. Wall Street price target of $24.67 (vs. $5.32 current) implies significant upside consensus but also reflects the speculative nature of pre-revenue biotech valuations. The exceptional culture may aid in attracting and retaining talent critical for clinical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TARA-002 interim clinical data readout expected H2 2026 in BCG-unresponsive bladder cancer could significantly de-risk the program</w:t>
      </w:r>
    </w:p>
    <w:p>
      <w:pPr>
        <w:spacing w:before="40" w:after="40"/>
        <w:ind w:left="283"/>
      </w:pPr>
      <w:r>
        <w:rPr>
          <w:rFonts w:ascii="Calibri" w:hAnsi="Calibri"/>
          <w:b/>
          <w:color w:val="4A6B25"/>
          <w:sz w:val="20"/>
        </w:rPr>
        <w:t xml:space="preserve">2. </w:t>
      </w:r>
      <w:r>
        <w:rPr>
          <w:rFonts w:ascii="Calibri" w:hAnsi="Calibri"/>
          <w:b w:val="0"/>
          <w:color w:val="3A4A28"/>
          <w:sz w:val="20"/>
        </w:rPr>
        <w:t>Potential orphan drug designation for lymphatic malformations program would provide regulatory pathway advantages and market exclusivity</w:t>
      </w:r>
    </w:p>
    <w:p>
      <w:pPr>
        <w:spacing w:before="40" w:after="40"/>
        <w:ind w:left="283"/>
      </w:pPr>
      <w:r>
        <w:rPr>
          <w:rFonts w:ascii="Calibri" w:hAnsi="Calibri"/>
          <w:b/>
          <w:color w:val="4A6B25"/>
          <w:sz w:val="20"/>
        </w:rPr>
        <w:t xml:space="preserve">3. </w:t>
      </w:r>
      <w:r>
        <w:rPr>
          <w:rFonts w:ascii="Calibri" w:hAnsi="Calibri"/>
          <w:b w:val="0"/>
          <w:color w:val="3A4A28"/>
          <w:sz w:val="20"/>
        </w:rPr>
        <w:t>Partnership or licensing opportunity for TARA-002 commercialization could provide non-dilutive funding and validate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risk — negative TARA-002 data in H2 2026 would eliminate primary source of option value from $293M market cap</w:t>
      </w:r>
    </w:p>
    <w:p>
      <w:pPr>
        <w:spacing w:before="40" w:after="40"/>
        <w:ind w:left="283"/>
      </w:pPr>
      <w:r>
        <w:rPr>
          <w:rFonts w:ascii="Calibri" w:hAnsi="Calibri"/>
          <w:b/>
          <w:color w:val="4A6B25"/>
          <w:sz w:val="20"/>
        </w:rPr>
        <w:t xml:space="preserve">2. </w:t>
      </w:r>
      <w:r>
        <w:rPr>
          <w:rFonts w:ascii="Calibri" w:hAnsi="Calibri"/>
          <w:b w:val="0"/>
          <w:color w:val="3A4A28"/>
          <w:sz w:val="20"/>
        </w:rPr>
        <w:t>Cash burn of $58-98M annually against $156M cash position creates 2-3 year runway pressure requiring likely dilutive financing</w:t>
      </w:r>
    </w:p>
    <w:p>
      <w:pPr>
        <w:spacing w:before="40" w:after="40"/>
        <w:ind w:left="283"/>
      </w:pPr>
      <w:r>
        <w:rPr>
          <w:rFonts w:ascii="Calibri" w:hAnsi="Calibri"/>
          <w:b/>
          <w:color w:val="4A6B25"/>
          <w:sz w:val="20"/>
        </w:rPr>
        <w:t xml:space="preserve">3. </w:t>
      </w:r>
      <w:r>
        <w:rPr>
          <w:rFonts w:ascii="Calibri" w:hAnsi="Calibri"/>
          <w:b w:val="0"/>
          <w:color w:val="3A4A28"/>
          <w:sz w:val="20"/>
        </w:rPr>
        <w:t>Pre-revenue company with forward P/E of -3.8x reflects pure speculative value with no fundamental financial support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Clinical-stage biotech faces moderate AI disruption dynamics — AI-driven drug discovery platforms are reshaping early-stage R&amp;D economics, with $6M AI models reportedly matching $100M traditional drug programs [2]. Protara's cell therapy (TARA-002) and substrate replacement (IV Choline Chloride) approaches are less susceptible to AI disruption than small-molecule discovery, as they rely on biological mechanisms and clinical validation that AI cannot shortcut. However, AI could accelerate competitors' development timelines in adjacent oncology indications, intensifying competitive pressure before Protara reaches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Protara Therapeutics Q4/FY2025 Financial Results and 2026 Milestones, GlobeNewsWire, March 10, 2026</w:t>
      </w:r>
    </w:p>
    <w:p>
      <w:pPr>
        <w:spacing w:before="20" w:after="20"/>
        <w:ind w:left="170"/>
      </w:pPr>
      <w:r>
        <w:rPr>
          <w:rFonts w:ascii="Calibri" w:hAnsi="Calibri"/>
          <w:b/>
          <w:color w:val="4A6B25"/>
          <w:sz w:val="15"/>
        </w:rPr>
        <w:t xml:space="preserve">2. </w:t>
      </w:r>
      <w:r>
        <w:rPr>
          <w:rFonts w:ascii="Calibri" w:hAnsi="Calibri"/>
          <w:b w:val="0"/>
          <w:color w:val="3A4A28"/>
          <w:sz w:val="17"/>
        </w:rPr>
        <w:t>Protara Therapeutics Leadership, Glassdoor reviews, and BioSpace 2026 Best Places to Work, accessed May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TARA key statistics, accessed May 2026</w:t>
      </w:r>
    </w:p>
    <w:p>
      <w:pPr>
        <w:spacing w:before="20" w:after="20"/>
        <w:ind w:left="170"/>
      </w:pPr>
      <w:r>
        <w:rPr>
          <w:rFonts w:ascii="Calibri" w:hAnsi="Calibri"/>
          <w:b/>
          <w:color w:val="4A6B25"/>
          <w:sz w:val="15"/>
        </w:rPr>
        <w:t xml:space="preserve">4. </w:t>
      </w:r>
      <w:r>
        <w:rPr>
          <w:rFonts w:ascii="Calibri" w:hAnsi="Calibri"/>
          <w:b w:val="0"/>
          <w:color w:val="3A4A28"/>
          <w:sz w:val="17"/>
        </w:rPr>
        <w:t>Protara Therapeutics 2026 Proxy Statement (DEF 14A), StockTitan,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