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TCOM</w:t>
      </w:r>
      <w:r>
        <w:rPr>
          <w:rFonts w:ascii="Calibri" w:hAnsi="Calibri"/>
          <w:b/>
          <w:color w:val="1A2010"/>
          <w:sz w:val="40"/>
        </w:rPr>
        <w:t xml:space="preserve">  Trip.com Group Limited</w:t>
      </w:r>
    </w:p>
    <w:p>
      <w:pPr>
        <w:spacing w:after="120"/>
      </w:pPr>
      <w:r>
        <w:rPr>
          <w:rFonts w:ascii="Calibri" w:hAnsi="Calibri"/>
          <w:b/>
          <w:color w:val="6E8450"/>
          <w:sz w:val="18"/>
        </w:rPr>
        <w:t>GROWTH SLEEVE · 2026-04-07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NASDAQ · Singapore</w:t>
      </w:r>
    </w:p>
    <w:p>
      <w:pPr>
        <w:spacing w:after="80"/>
      </w:pPr>
      <w:r>
        <w:rPr>
          <w:rFonts w:ascii="Calibri" w:hAnsi="Calibri"/>
          <w:b w:val="0"/>
          <w:color w:val="3A4A28"/>
          <w:sz w:val="20"/>
        </w:rPr>
        <w:t>Trip.com Group operates as a leading online travel agency through its Ctrip, Qunar, Trip.com, and Skyscanner brands, providing accommodation reservation, transportation ticketing, packaged tours, corporate travel management, and in-destination services across China and internationally. Founded in 1999, it serves over 400 million users globally.</w:t>
      </w:r>
    </w:p>
    <w:p>
      <w:r>
        <w:rPr>
          <w:rFonts w:ascii="Calibri" w:hAnsi="Calibri"/>
          <w:b/>
          <w:color w:val="6E8450"/>
          <w:sz w:val="18"/>
        </w:rPr>
        <w:t>36,000 Employees · https://group.trip.com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Trip.com successfully consolidated China's OTA market through the Ctrip-Qunar merger and Skyscanner acquisition, then rebranded as Trip.com Group in 2019 to pivot toward international expansion — pure international business grew 60%+ YoY in Q4 2024 [1]. The entertainment-plus-travel segment posted triple-digit growth with 1,540 shows ticketed globally [1]. AI Deployment (2/2): The company is deploying AI across its platform for trip planning and discovery, transitioning from a booking engine to an AI-powered travel assistant; management highlighted AI-driven enhancements as a core growth driver in the Q4 2024 earnings call [1][2]. Market Share (2/2): Trip.com is the dominant OTA in China with over 60% market share and is the fastest-growing international OTA in APAC, targeting 40 million inbound travelers by 2026 [1]. Pipeline (0/2): No specific next-gen product launches with timelines announced beyond general AI integration plans. R&amp;D Intensity (1/1): Significant technology investment with AI and data-driven operations at the core of the platform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Trip.com's mission to 'pursue the perfect trip for a better world' is clear and travel-specific but not deeply distinctive — it identifies what the company does without articulating a transformative vision for the future [3]. Community Impact (2/2): The company's Tourism Innovation Fund supports sustainable tourism development, and it has provided over 72 million travelers access to lower-emission travel alternatives; women comprise 57.5% of the workforce with a hybrid work model across 117 offices in 39 countries [3]. Employee Retention (1/2): Glassdoor rating of approximately 4.0 for culture and values; the 'Baby Tiger' program empowers young employees to pitch entrepreneurial ideas, though some reviews cite authoritarian leadership style [2]. Insider Buying (1/2): Company has been actively repurchasing shares through an authorized buyback program, deploying part of its RMB 105.8B liquidity for buybacks, signaling management confidence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Trip.com's financial profile is exceptional across every measured metric. D/E of 18.2% is fortress-level balance sheet strength against a 70% target [5]. ROE of 21.1% exceeds the 15% target, demonstrating efficient capital deployment. Revenue growth of 20.8% YoY (FY2024 RMB 62.4B, up 17% full-year) with Q4 accelerating to 21% shows momentum [1]. Forward P/E of 10.8x is deeply discounted against the 20x target, reflecting China discount despite strong fundamentals. Profit margin of 53.3% is extraordinary for a travel platform, nearly tripling the 20% target [5]. 5yr revenue CAGR of approximately 10% normalizes COVID disruption (2019 RMB 35.7B to 2025 RMB 62.4B). Liquidity floor cleared: 4.16M avg volume × $50.09 = $208M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Trip.com plays a mixed game — the 25-year journey from a domestic Chinese OTA to a global travel platform demonstrates long-term strategic thinking, but the company's competitive language often focuses on market share capture and growth metrics rather than an enduring vision for how travel should transform the world.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'Pursue the perfect trip for a better world' connects travel to a larger purpose, and the 25-year evolution from Ctrip to Trip.com Group shows genuine commitment to expanding access to travel globally [3]. The Tourism Innovation Fund and sustainable travel initiatives add substance. However, the cause has not been tested through true existential crisis — COVID recovery was strong but driven by market rebound rather than cause-driven strategic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'Baby Tiger' entrepreneurship program and hybrid work model across 117 offices demonstrate employee empowerment initiatives [2][3]. However, Glassdoor reviews describe mixed experiences — some cite supportive leadership while others describe an 'emperor-like' top-down management style that stifles innovation. The 3.8/5 work-life balance and 4.0 culture ratings suggest adequate but not exceptional organizational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Trip.com explicitly acknowledges competitors like Booking Holdings and Airbnb as motivators for improvement, particularly in international expansion and AI-powered experiences. Management's focus on learning from global best practices rather than just capturing share reflects an improvement-oriented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Trip.com has evolved from a domestic Chinese hotel booking site to a global multi-brand travel platform (Ctrip, Qunar, Trip.com, Skyscanner) serving 400M+ users [1]. The 2019 rebrand from Ctrip.com International to Trip.com Group reflected a genuine strategic pivot toward international markets. These are meaningful but incremental evolutions,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Jane Sun's decision to maintain heavy R&amp;D and international investment through the COVID period — when domestic travel was decimated — showed willingness to invest during downturns [2]. The company's early adoption of Six Sigma and data-driven management under Sun's leadership since 2005 reflects long-term capability building. However, no evidence of walking away from profitable but misaligned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Trip.com Group is a dominant travel platform delivering exceptional financial performance — FY2024 revenue of RMB 62.4B (up 17% YoY) with Q4 accelerating to 21% growth, profit margin of 53.3%, and ROE of 21.1% [1]. At 10.8x forward P/E with 20%+ revenue growth, the stock trades at a significant discount to global OTA peers like Booking Holdings (20x+), reflecting a persistent China discount despite accelerating international diversification. Pure international business is growing 60%+ YoY and management targets doubling inbound travelers to 40 million in 2026 [1]. The fortress balance sheet (18% D/E, RMB 105.8B liquidity) provides ample runway for buybacks, M&amp;A, and the Tourism Innovation Fund. Entertainment-plus-travel (triple-digit growth) and corporate travel (RMB 2.8B, up 13%) diversify revenue streams beyond leisure booking [1].</w:t>
      </w:r>
    </w:p>
    <w:p>
      <w:pPr>
        <w:spacing w:after="120"/>
      </w:pPr>
      <w:r>
        <w:rPr>
          <w:rFonts w:ascii="Calibri" w:hAnsi="Calibri"/>
          <w:b w:val="0"/>
          <w:color w:val="3A4A28"/>
          <w:sz w:val="20"/>
        </w:rPr>
        <w:t>The bear case centers on China macro risk and AI disruption. Geopolitical tensions, property market weakness, and consumer confidence headwinds could slow China's domestic travel recovery. The persistent valuation discount reflects real structural risk — regulatory uncertainty, VIE structure concerns, and potential US-China decoupling could compress multiples further regardless of operational performance. AI-powered travel agents from Google, OpenAI, and emerging startups threaten to disintermediate OTAs by enabling direct supplier booking through conversational interfaces. While Trip.com is investing in AI, its competitive moat rests on supplier relationships and inventory access that could erode as AI tools gain direct integration with airlines and hotels. Currency risk (RMB-denominated revenue, USD-listed ADRs) adds volatility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OTA expansion targeting 60%+ revenue growth in pure international business and 40M inbound travelers by 2026, reducing China concentration risk [1]</w:t>
      </w:r>
    </w:p>
    <w:p>
      <w:pPr>
        <w:spacing w:before="40" w:after="40"/>
        <w:ind w:left="283"/>
      </w:pPr>
      <w:r>
        <w:rPr>
          <w:rFonts w:ascii="Calibri" w:hAnsi="Calibri"/>
          <w:b/>
          <w:color w:val="4A6B25"/>
          <w:sz w:val="20"/>
        </w:rPr>
        <w:t xml:space="preserve">2. </w:t>
      </w:r>
      <w:r>
        <w:rPr>
          <w:rFonts w:ascii="Calibri" w:hAnsi="Calibri"/>
          <w:b w:val="0"/>
          <w:color w:val="3A4A28"/>
          <w:sz w:val="20"/>
        </w:rPr>
        <w:t>AI-powered travel discovery platform transformation from booking engine to intelligent trip planner, driving higher conversion and customer lifetime value [2]</w:t>
      </w:r>
    </w:p>
    <w:p>
      <w:pPr>
        <w:spacing w:before="40" w:after="40"/>
        <w:ind w:left="283"/>
      </w:pPr>
      <w:r>
        <w:rPr>
          <w:rFonts w:ascii="Calibri" w:hAnsi="Calibri"/>
          <w:b/>
          <w:color w:val="4A6B25"/>
          <w:sz w:val="20"/>
        </w:rPr>
        <w:t xml:space="preserve">3. </w:t>
      </w:r>
      <w:r>
        <w:rPr>
          <w:rFonts w:ascii="Calibri" w:hAnsi="Calibri"/>
          <w:b w:val="0"/>
          <w:color w:val="3A4A28"/>
          <w:sz w:val="20"/>
        </w:rPr>
        <w:t>Entertainment-plus-travel segment posting triple-digit growth with 1,540 globally ticketed shows, creating a new high-margin revenue vertical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macro headwinds — consumer confidence erosion, property market weakness, and regulatory uncertainty could slow domestic travel spending growth [5]</w:t>
      </w:r>
    </w:p>
    <w:p>
      <w:pPr>
        <w:spacing w:before="40" w:after="40"/>
        <w:ind w:left="283"/>
      </w:pPr>
      <w:r>
        <w:rPr>
          <w:rFonts w:ascii="Calibri" w:hAnsi="Calibri"/>
          <w:b/>
          <w:color w:val="4A6B25"/>
          <w:sz w:val="20"/>
        </w:rPr>
        <w:t xml:space="preserve">2. </w:t>
      </w:r>
      <w:r>
        <w:rPr>
          <w:rFonts w:ascii="Calibri" w:hAnsi="Calibri"/>
          <w:b w:val="0"/>
          <w:color w:val="3A4A28"/>
          <w:sz w:val="20"/>
        </w:rPr>
        <w:t>AI disintermediation — conversational AI travel agents from Google and OpenAI could bypass OTAs by enabling direct supplier booking, threatening Trip.com's aggregator model [2]</w:t>
      </w:r>
    </w:p>
    <w:p>
      <w:pPr>
        <w:spacing w:before="40" w:after="40"/>
        <w:ind w:left="283"/>
      </w:pPr>
      <w:r>
        <w:rPr>
          <w:rFonts w:ascii="Calibri" w:hAnsi="Calibri"/>
          <w:b/>
          <w:color w:val="4A6B25"/>
          <w:sz w:val="20"/>
        </w:rPr>
        <w:t xml:space="preserve">3. </w:t>
      </w:r>
      <w:r>
        <w:rPr>
          <w:rFonts w:ascii="Calibri" w:hAnsi="Calibri"/>
          <w:b w:val="0"/>
          <w:color w:val="3A4A28"/>
          <w:sz w:val="20"/>
        </w:rPr>
        <w:t>Geopolitical and structural risk — US-China tensions, VIE structure concerns, and potential ADR delisting risk contribute to persistent valuation discount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Travel services face moderate AI disruption risk — AI-powered trip planning tools from Google, OpenAI, and emerging startups could disintermediate OTAs by enabling direct booking through conversational AI agents. However, Trip.com's proprietary supplier relationships, real-time inventory management, and deep China market penetration create meaningful switching costs that pure AI tools cannot easily replicate [2]. The physical-world nature of travel (hotels, flights, experiences) provides structural protection against full AI substitution. AI Opportunity (1/1): Trip.com is actively deploying AI across its platform for personalized trip discovery and planning, and management has identified AI-driven enhancements as a core growth driver with measurable improvements in conversion and customer satisfaction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Trip.com Group Q4 and Full Year 2024 Earnings Release — RMB 62.4B revenue, 17% YoY growth, 21% Q4 growth, February 2025</w:t>
      </w:r>
    </w:p>
    <w:p>
      <w:pPr>
        <w:spacing w:before="20" w:after="20"/>
        <w:ind w:left="170"/>
      </w:pPr>
      <w:r>
        <w:rPr>
          <w:rFonts w:ascii="Calibri" w:hAnsi="Calibri"/>
          <w:b/>
          <w:color w:val="4A6B25"/>
          <w:sz w:val="15"/>
        </w:rPr>
        <w:t xml:space="preserve">2. </w:t>
      </w:r>
      <w:r>
        <w:rPr>
          <w:rFonts w:ascii="Calibri" w:hAnsi="Calibri"/>
          <w:b w:val="0"/>
          <w:color w:val="3A4A28"/>
          <w:sz w:val="17"/>
        </w:rPr>
        <w:t>PhocusWire — Trip.com Group on growth strategies, experiences, and generative AI; Forbes Asia — Leading Travel Forward: Innovation, Impact and Vision, 2025</w:t>
      </w:r>
    </w:p>
    <w:p>
      <w:pPr>
        <w:spacing w:before="20" w:after="20"/>
        <w:ind w:left="170"/>
      </w:pPr>
      <w:r>
        <w:rPr>
          <w:rFonts w:ascii="Calibri" w:hAnsi="Calibri"/>
          <w:b/>
          <w:color w:val="4A6B25"/>
          <w:sz w:val="15"/>
        </w:rPr>
        <w:t xml:space="preserve">3. </w:t>
      </w:r>
      <w:r>
        <w:rPr>
          <w:rFonts w:ascii="Calibri" w:hAnsi="Calibri"/>
          <w:b w:val="0"/>
          <w:color w:val="3A4A28"/>
          <w:sz w:val="17"/>
        </w:rPr>
        <w:t>Trip.com Group ESG/Sustainability Report 2023 — carbon neutrality 2050 target, 72M travelers with lower-emission alternatives, workforce diversity data</w:t>
      </w:r>
    </w:p>
    <w:p>
      <w:pPr>
        <w:spacing w:before="20" w:after="20"/>
        <w:ind w:left="170"/>
      </w:pPr>
      <w:r>
        <w:rPr>
          <w:rFonts w:ascii="Calibri" w:hAnsi="Calibri"/>
          <w:b/>
          <w:color w:val="4A6B25"/>
          <w:sz w:val="15"/>
        </w:rPr>
        <w:t xml:space="preserve">4. </w:t>
      </w:r>
      <w:r>
        <w:rPr>
          <w:rFonts w:ascii="Calibri" w:hAnsi="Calibri"/>
          <w:b w:val="0"/>
          <w:color w:val="3A4A28"/>
          <w:sz w:val="17"/>
        </w:rPr>
        <w:t>Glassdoor — Trip.com Group employee reviews, 4.0 culture rating, mixed leadership assessments,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TCOM (Trip.com Group),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