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TCPC</w:t>
      </w:r>
      <w:r>
        <w:rPr>
          <w:rFonts w:ascii="Calibri" w:hAnsi="Calibri"/>
          <w:b/>
          <w:color w:val="1A2010"/>
          <w:sz w:val="40"/>
        </w:rPr>
        <w:t xml:space="preserve">  BlackRock TCP Capital Corp.</w:t>
      </w:r>
    </w:p>
    <w:p>
      <w:pPr>
        <w:spacing w:after="120"/>
      </w:pPr>
      <w:r>
        <w:rPr>
          <w:rFonts w:ascii="Calibri" w:hAnsi="Calibri"/>
          <w:b/>
          <w:color w:val="6E8450"/>
          <w:sz w:val="18"/>
        </w:rPr>
        <w:t>DIVIDEND SLEEVE · 2026-04-29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BlackRock TCP Capital Corp. is a business development company specializing in direct equity and debt investments in middle-market companies, primarily investing in senior secured loans, mezzanine debt, and junior capital across technology, healthcare, and business services sectors with typical investments of $10-35 million in companies with enterprise values of $100M-$1.5B.</w:t>
      </w:r>
    </w:p>
    <w:p>
      <w:r>
        <w:rPr>
          <w:rFonts w:ascii="Calibri" w:hAnsi="Calibri"/>
          <w:b/>
          <w:color w:val="6E8450"/>
          <w:sz w:val="18"/>
        </w:rPr>
        <w:t>https://www.tcpcapital.com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TCPC scores modestly on innovation given the inherently low-innovation nature of BDC lending. Innovation Track Record (1/3): The 2024 leadership transition to CEO Phil Tseng and the appointment of co-CIO Dan Worrell represent organizational evolution, though not a transformative business model shift [1]. AI Deployment (0/2): No evidence of AI-powered underwriting tools or AI-driven portfolio management disclosed in public filings. Market Share Leadership (1/2): TCPC is a meaningful mid-market BDC player within the BlackRock platform, but competes in a fragmented space with over 100 publicly traded BDCs and holds no dominant position [2]. Product Pipeline (1/2): Expansion into broader private credit strategies through BlackRock's US Private Capital platform provides some pipeline visibility, though specifics on new investment products remain vague. R&amp;D Intensity (0/1): BDCs do not invest in R&amp;D; capital is deployed into lending rather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TCPC's stated purpose is to provide flexible capital solutions to middle-market companies, a generic BDC mission interchangeable with dozens of peers [1]. Community &amp; Charitable Impact (0/2): No evidence of corporate philanthropy programs, community investment, or charitable initiatives specific to TCPC (distinct from parent BlackRock's broader programs). Employee Retention &amp; Tenure (1/2): As an externally managed BDC under BlackRock's platform, the investment team benefits from BlackRock's institutional stability; Phil Tseng has been with the TCP platform since its founding, and several senior team members have multi-year tenure [1]. Insider Buying (1/2): Limited insider transaction data available, though the leadership transition in late 2024 included some equity arrangements for incoming executives, suggesting alignment but no significant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TCPC's financial infrastructure is severely impaired by negative profitability metrics and an unsustainable dividend payout. Debt-to-equity of 173% is elevated but within BDC norms [2]. Return on equity is deeply negative at -12.9%, reflecting realized and unrealized portfolio losses. Revenue declined 28.3% YoY as interest income contracted amid portfolio repositioning and credit stress [1]. The forward P/E of 6.5x is attractive, but the payout ratio exceeds 375%, meaning distributions far exceed net investment income — a classic BDC value trap [2]. While TCPC has paid dividends continuously since its 2012 IPO (~14 years), the dividend has been cut repeatedly, declining from $0.30/quarter in 2021 to $0.17/quarter in early 2026, representing negative 5-year dividend growth CAGR.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TCPC operates with a predominantly finite mindset, focused on quarterly distribution coverage and near-term portfolio yield optimization rather than long-term institutional building. The 2024 leadership transition and repeated dividend cuts suggest reactive management rather than proactive stewardship.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TCPC's purpose is to provide capital to middle-market companies and generate income for shareholders — a functional description rather than a just cause. There is no articulated vision of a better future or a purpose that transcends quarterly income generation. The company exists to fill a capital markets gap, which is useful but not inspirational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 an externally managed BDC, TCPC's team operates within BlackRock's broader organizational culture. The 2024 leadership transition was orderly, with Phil Tseng elevated to CEO and internal promotions for key roles, suggesting institutional continuity [1]. However, externally managed BDCs inherently create principal-agent conflicts between the manager (BlackRock) and shareholders, which undermines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competitive pressure for self-improvement. BDC earnings calls typically focus on portfolio metrics and distribution coverage rather than competitive positioning relative to peers like Ares Capital or Golub Capital.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TCPC has evolved from its TCP Capital origins to its integration into the BlackRock platform, representing incremental adaptation. The transition from an independent BDC to a subsidiary of the world's largest asset manager provides resources and deal flow, though this was driven by practical necessity rather than a visionary strategic pivot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cut the dividend from $0.30 to $0.17 over several quarters demonstrates willingness to face near-term pain rather than maintain an unsustainable payout — a form of financial courage [2]. However, these cuts were forced by deteriorating NII rather than proactive strategic choices, limiting the credit given for leadership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TCPC offers a deeply discounted entry point into the BlackRock private credit platform, trading at roughly 40% below NAV with a 21.7% current yield and forward P/E of 6.5x [2]. The integration into BlackRock's US Private Capital platform provides access to the world's largest asset manager's deal flow, risk management infrastructure, and institutional relationships, potentially improving credit selection and portfolio recovery over time. The new leadership team under CEO Phil Tseng brings continuity from TCP Capital's founding and fresh perspectives from BlackRock's broader organization [1].</w:t>
      </w:r>
    </w:p>
    <w:p>
      <w:pPr>
        <w:spacing w:after="120"/>
      </w:pPr>
      <w:r>
        <w:rPr>
          <w:rFonts w:ascii="Calibri" w:hAnsi="Calibri"/>
          <w:b w:val="0"/>
          <w:color w:val="3A4A28"/>
          <w:sz w:val="20"/>
        </w:rPr>
        <w:t>The bear case is substantial: TCPC's payout ratio exceeds 375%, meaning the current dividend is funded partly by return of capital rather than investment income, making further dividend cuts highly probable [2]. NAV has declined persistently, reflecting realized losses in the underlying portfolio, and the -12.9% ROE indicates the portfolio is destroying shareholder value. Revenue contracted 28.3% YoY, and the negative profit margin of -44% suggests structural profitability challenges. In a rising default environment for middle-market borrowers, TCPC's leveraged portfolio could face accelerating writedowns.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BlackRock platform integration driving improved deal sourcing and access to higher-quality middle-market credits through the broader US Private Capital network</w:t>
      </w:r>
    </w:p>
    <w:p>
      <w:pPr>
        <w:spacing w:before="40" w:after="40"/>
        <w:ind w:left="283"/>
      </w:pPr>
      <w:r>
        <w:rPr>
          <w:rFonts w:ascii="Calibri" w:hAnsi="Calibri"/>
          <w:b/>
          <w:color w:val="4A6B25"/>
          <w:sz w:val="20"/>
        </w:rPr>
        <w:t xml:space="preserve">2. </w:t>
      </w:r>
      <w:r>
        <w:rPr>
          <w:rFonts w:ascii="Calibri" w:hAnsi="Calibri"/>
          <w:b w:val="0"/>
          <w:color w:val="3A4A28"/>
          <w:sz w:val="20"/>
        </w:rPr>
        <w:t>Stabilization of net investment income as the portfolio is repositioned under new leadership, potentially supporting a sustainable (albeit lower) dividend level</w:t>
      </w:r>
    </w:p>
    <w:p>
      <w:pPr>
        <w:spacing w:before="40" w:after="40"/>
        <w:ind w:left="283"/>
      </w:pPr>
      <w:r>
        <w:rPr>
          <w:rFonts w:ascii="Calibri" w:hAnsi="Calibri"/>
          <w:b/>
          <w:color w:val="4A6B25"/>
          <w:sz w:val="20"/>
        </w:rPr>
        <w:t xml:space="preserve">3. </w:t>
      </w:r>
      <w:r>
        <w:rPr>
          <w:rFonts w:ascii="Calibri" w:hAnsi="Calibri"/>
          <w:b w:val="0"/>
          <w:color w:val="3A4A28"/>
          <w:sz w:val="20"/>
        </w:rPr>
        <w:t>Recovery in NAV if credit markets improve and TCPC's distressed positions regain value through restructurings or payoffs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Further dividend cuts are likely given payout ratio exceeding 375% of net investment income, which could trigger forced selling by income-focused investors and additional share price declines</w:t>
      </w:r>
    </w:p>
    <w:p>
      <w:pPr>
        <w:spacing w:before="40" w:after="40"/>
        <w:ind w:left="283"/>
      </w:pPr>
      <w:r>
        <w:rPr>
          <w:rFonts w:ascii="Calibri" w:hAnsi="Calibri"/>
          <w:b/>
          <w:color w:val="4A6B25"/>
          <w:sz w:val="20"/>
        </w:rPr>
        <w:t xml:space="preserve">2. </w:t>
      </w:r>
      <w:r>
        <w:rPr>
          <w:rFonts w:ascii="Calibri" w:hAnsi="Calibri"/>
          <w:b w:val="0"/>
          <w:color w:val="3A4A28"/>
          <w:sz w:val="20"/>
        </w:rPr>
        <w:t>Rising middle-market default rates in a slowing economy could accelerate portfolio writedowns, continuing NAV erosion from the current deeply discounted levels</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creates inherent conflicts of interest between BlackRock's fee income and shareholder returns, particularly in capital allocation decisions during periods of portfolio 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TCPC's core business of middle-market direct lending involves human-intensive credit underwriting, relationship-driven deal sourcing, and complex covenant negotiation that AI cannot easily replicate [1]. BDC lending requires judgment on bespoke situations — distressed credits, sponsor relationships, and bilateral deal structures — that are structurally protected from AI commoditization. However, AI could enhance competitive dynamics by enabling larger platforms to underwrite faster and at lower cost, creating modest pressure on smaller BDCs. Parent BlackRock is investing heavily in AI through its Aladdin platform and AI Labs, which could benefit TCPC's portfolio monitoring and risk management capabilities [3]. AI Opportunity (0/1): TCPC does not generate any revenue from AI products or services; it is purely a lender and investor in middle-market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BlackRock TCP Capital Corp. Leadership Transitions Press Release, September 2024</w:t>
      </w:r>
    </w:p>
    <w:p>
      <w:pPr>
        <w:spacing w:before="20" w:after="20"/>
        <w:ind w:left="170"/>
      </w:pPr>
      <w:r>
        <w:rPr>
          <w:rFonts w:ascii="Calibri" w:hAnsi="Calibri"/>
          <w:b/>
          <w:color w:val="4A6B25"/>
          <w:sz w:val="15"/>
        </w:rPr>
        <w:t xml:space="preserve">2. </w:t>
      </w:r>
      <w:r>
        <w:rPr>
          <w:rFonts w:ascii="Calibri" w:hAnsi="Calibri"/>
          <w:b w:val="0"/>
          <w:color w:val="3A4A28"/>
          <w:sz w:val="17"/>
        </w:rPr>
        <w:t>Yahoo Finance — TCPC key statistics,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BlackRock AI Labs and Aladdin platform strategy, BlackRock corporate website,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