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TDIC</w:t>
      </w:r>
      <w:r>
        <w:rPr>
          <w:rFonts w:ascii="Calibri" w:hAnsi="Calibri"/>
          <w:b/>
          <w:color w:val="1A2010"/>
          <w:sz w:val="40"/>
        </w:rPr>
        <w:t xml:space="preserve">  Dreamland Limited</w:t>
      </w:r>
    </w:p>
    <w:p>
      <w:pPr>
        <w:spacing w:after="120"/>
      </w:pPr>
      <w:r>
        <w:rPr>
          <w:rFonts w:ascii="Calibri" w:hAnsi="Calibri"/>
          <w:b/>
          <w:color w:val="6E8450"/>
          <w:sz w:val="18"/>
        </w:rPr>
        <w:t>GROWTH SLEEVE · 2026-04-23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Hong Kong</w:t>
      </w:r>
    </w:p>
    <w:p>
      <w:pPr>
        <w:spacing w:after="80"/>
      </w:pPr>
      <w:r>
        <w:rPr>
          <w:rFonts w:ascii="Calibri" w:hAnsi="Calibri"/>
          <w:b w:val="0"/>
          <w:color w:val="3A4A28"/>
          <w:sz w:val="20"/>
        </w:rPr>
        <w:t>Dreamland Limited provides event management services in Hong Kong, including trade shows, conferences, concerts, exhibitions, charity galas, and brand promotion events. The company also organizes themed touring walk-through experience events for IP owners, designs and sells merchandise, and operates pop-up stores. Founded in 2016, IPO'd on Nasdaq in July 2025.</w:t>
      </w:r>
    </w:p>
    <w:p>
      <w:r>
        <w:rPr>
          <w:rFonts w:ascii="Calibri" w:hAnsi="Calibri"/>
          <w:b/>
          <w:color w:val="6E8450"/>
          <w:sz w:val="18"/>
        </w:rPr>
        <w:t>12 Employees · https://www.trendicint.com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Dreamland shifted from pure event planning to event organizing and investing, with net revenue surging 124% to HK$45.8M in FY2025 driven by post-COVID recovery, but the business remains a small-scale event management operation with no transformative product launches [1][2]. AI Deployment (0/2): No AI products or AI-driven cost savings evident; the company's in-house ticketing platform initiative is a basic data capture tool, not an AI deployment [2]. Market Share (0/2): Dreamland is a micro-cap ($7.5M market cap) event management firm in Hong Kong with no discernible market share leadership in any category [1]. Pipeline (1/2): The company is developing an in-house ticketing platform to capture attendee engagement data for data-driven IP acquisition and event planning, showing some forward vision, but timelines and revenue impact are vague [2]. R&amp;D Intensity (1/1): For a 12-person event management company, the investment in ticketing technology and IP-based experiential events represents above-average innovation effort relative to the micro-cap event management peer set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Dreamland's purpose is generic — providing event management services and experiential entertainment — with no articulated deeper cause or vision beyond commercial event operations [2]. Community Impact (1/2): The company organizes charity galas and brand promotion events, providing some community engagement through experiential entertainment in Hong Kong, but no specific charitable programs or dollar amounts are cited [1]. Employee Retention (0/2): With only 12 employees, leadership reshuffles in October 2025 including a new CFO, and an 86% stock price plunge raising operational stability concerns, there is no evidence of a stable, mission-driven workforce [3]. Insider Buying (0/2): No evidence of meaningful insider buying; the stock plunged 86% in October 2025 amid leadership changes and delayed SEC filings, suggesting governance instability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Dreamland is a micro-cap company ($7.5M market cap) with severe profitability challenges. Revenue growth of 28.9% YoY is strong, but the company posted a net loss of HKD 36.98M versus prior-period profit of HKD 2.71M, driven by HKD 23.5M in share-based payments and IPO-related costs [1]. Profit margin of -60.8% and ROE of -182.5% reflect a deeply unprofitable business [5]. The one bright spot is low leverage at 35.96% D/E with HKD 27.6M cash against HKD 11.2M debt [5]. Forward P/E and PEG are unavailable due to lack of earnings. The stock received a Nasdaq non-compliance notice for failing the $1.00 minimum bid price requirement [4]. Liquidity floor passes narrowly: 1.45M avg vol × $1.01 = $1.46M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Dreamland operates as a finite player focused on short-term survival following a turbulent post-IPO period. The October 2025 leadership reshuffle, 86% stock plunge, delayed SEC filings, and Nasdaq non-compliance notice all point to a company navigating crisis rather than playing for endurance. The pivot from event planner to event organizer/investor shows some strategic ambition, but execution instability undermines any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Dreamland's purpose — creating experiential entertainment through IP-based events — is a commercial objective rather than a Just Cause [1]. There is no articulated vision of a future state worth sacrificing for. The company exists to manage events profitably, which is a finite objective. The shift toward IP-based experiential entertainment shows some category ambition but lacks the depth Sinek would require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October 2025 leadership reshuffle — including a new CFO — combined with delayed annual report filings and an 86% stock price crash signals organizational instability and low trust [3]. With only 12 employees and executive turnover within months of the IPO, the Circle of Safety appears compromised. No evidence of employee empowerment, stable culture, or long-term team cohesion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Dreamland acknowledging worthy rivals or framing competition as a catalyst for improvement [2]. The company's competitive positioning focuses on its founder's network and IP relationships rather than learning from competitors' strengths. Finite competitive mindset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Dreamland has shown some strategic flexibility, pivoting from pure event planning to event organizing and investing, and developing an in-house ticketing platform for data-driven IP acquisition [2]. The post-COVID revenue recovery (124% surge in FY2025) shows adaptability. However, these are incremental evolutions driven by necessity rather than transformative pivots in service of a deeper cause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Nasdaq IPO in July 2025 represented a bold move for a 12-person Hong Kong event management firm, and the investment in building an in-house ticketing platform shows willingness to invest in future capability [2]. However, the subsequent operational turmoil — leadership changes, filing delays, stock crash — suggests the courage was not matched by execution discipline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Dreamland Limited is a micro-cap Hong Kong event management company that IPO'd on Nasdaq in July 2025 and has since experienced severe operational and market turbulence. Revenue growth is strong at 28.9% YoY, with H1 FY2026 revenue rising to HKD 39.96M from HKD 31.01M, driven by tickets, sponsorships, and merchandise sales [1]. The company holds more cash (HKD 27.6M) than debt (HKD 11.2M) and is developing an in-house ticketing platform for data-driven event planning, which could create a competitive advantage in IP-based experiential entertainment [2].</w:t>
      </w:r>
    </w:p>
    <w:p>
      <w:pPr>
        <w:spacing w:after="120"/>
      </w:pPr>
      <w:r>
        <w:rPr>
          <w:rFonts w:ascii="Calibri" w:hAnsi="Calibri"/>
          <w:b w:val="0"/>
          <w:color w:val="3A4A28"/>
          <w:sz w:val="20"/>
        </w:rPr>
        <w:t>The bear case is overwhelming. Dreamland posted a net loss of HKD 36.98M versus prior-period profit of HKD 2.71M, with a -60.8% profit margin driven by HKD 23.5M in share-based payments and IPO costs [1]. The stock plunged 86% in October 2025 following executive reshuffles and delayed SEC filings, and has since received a Nasdaq non-compliance notice for falling below the $1.00 minimum bid price [3][4]. With a $7.5M market cap, 12 employees, negative ROE of -182.5%, and no analyst coverage, this is a speculative micro-cap with existential risk of delisting. The company's path to profitability is unclear, and governance instability following the IPO raises serious concerns about management execution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in-house ticketing platform enabling data-driven IP acquisition and higher-margin event operations [2]</w:t>
      </w:r>
    </w:p>
    <w:p>
      <w:pPr>
        <w:spacing w:before="40" w:after="40"/>
        <w:ind w:left="283"/>
      </w:pPr>
      <w:r>
        <w:rPr>
          <w:rFonts w:ascii="Calibri" w:hAnsi="Calibri"/>
          <w:b/>
          <w:color w:val="4A6B25"/>
          <w:sz w:val="20"/>
        </w:rPr>
        <w:t xml:space="preserve">2. </w:t>
      </w:r>
      <w:r>
        <w:rPr>
          <w:rFonts w:ascii="Calibri" w:hAnsi="Calibri"/>
          <w:b w:val="0"/>
          <w:color w:val="3A4A28"/>
          <w:sz w:val="20"/>
        </w:rPr>
        <w:t>Return to profitability as IPO-related share-based compensation expenses ($23.5M) normalize in future periods [1]</w:t>
      </w:r>
    </w:p>
    <w:p>
      <w:pPr>
        <w:spacing w:before="40" w:after="40"/>
        <w:ind w:left="283"/>
      </w:pPr>
      <w:r>
        <w:rPr>
          <w:rFonts w:ascii="Calibri" w:hAnsi="Calibri"/>
          <w:b/>
          <w:color w:val="4A6B25"/>
          <w:sz w:val="20"/>
        </w:rPr>
        <w:t xml:space="preserve">3. </w:t>
      </w:r>
      <w:r>
        <w:rPr>
          <w:rFonts w:ascii="Calibri" w:hAnsi="Calibri"/>
          <w:b w:val="0"/>
          <w:color w:val="3A4A28"/>
          <w:sz w:val="20"/>
        </w:rPr>
        <w:t>Regaining Nasdaq minimum bid price compliance through share consolidation or organic price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is below $1.00 minimum bid price requirement with a 180-day compliance window, and share consolidation may not sustain price above $1.00 [4]</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 leadership reshuffles within months of IPO, delayed SEC filings, and 86% stock crash indicate serious operational and management risks [3]</w:t>
      </w:r>
    </w:p>
    <w:p>
      <w:pPr>
        <w:spacing w:before="40" w:after="40"/>
        <w:ind w:left="283"/>
      </w:pPr>
      <w:r>
        <w:rPr>
          <w:rFonts w:ascii="Calibri" w:hAnsi="Calibri"/>
          <w:b/>
          <w:color w:val="4A6B25"/>
          <w:sz w:val="20"/>
        </w:rPr>
        <w:t xml:space="preserve">3. </w:t>
      </w:r>
      <w:r>
        <w:rPr>
          <w:rFonts w:ascii="Calibri" w:hAnsi="Calibri"/>
          <w:b w:val="0"/>
          <w:color w:val="3A4A28"/>
          <w:sz w:val="20"/>
        </w:rPr>
        <w:t>Micro-cap survival risk — $7.5M market cap, 12 employees, -60.8% profit margin, and negative cash flow from operations (-$33M) create existential funding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Event management is a physical-world, relationship-intensive business — organizing concerts, trade shows, and experiential events requires venue logistics, talent coordination, and on-the-ground execution that AI cannot substitute [1]. However, AI tools could streamline event planning workflows, ticketing, and marketing, potentially lowering barriers to entry and enabling competitors to scale with fewer staff. The company's small size (12 employees) means AI productivity tools could actually benefit Dreamland disproportionately, but the industry itself faces moderate disruption risk as AI-generated content and virtual events could erode demand for physical experiences [2]. AI Opportunity (1/1): Dreamland's in-house ticketing platform initiative incorporates data-driven attendee analytics, representing early-stage AI-adjacent revenue potential for event optimization and IP acquisition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Dreamland Limited H1 FY2026 Interim Results — HKD 39.96M revenue, HKD 36.98M net loss, TipRanks, 2025</w:t>
      </w:r>
    </w:p>
    <w:p>
      <w:pPr>
        <w:spacing w:before="20" w:after="20"/>
        <w:ind w:left="170"/>
      </w:pPr>
      <w:r>
        <w:rPr>
          <w:rFonts w:ascii="Calibri" w:hAnsi="Calibri"/>
          <w:b/>
          <w:color w:val="4A6B25"/>
          <w:sz w:val="15"/>
        </w:rPr>
        <w:t xml:space="preserve">2. </w:t>
      </w:r>
      <w:r>
        <w:rPr>
          <w:rFonts w:ascii="Calibri" w:hAnsi="Calibri"/>
          <w:b w:val="0"/>
          <w:color w:val="3A4A28"/>
          <w:sz w:val="17"/>
        </w:rPr>
        <w:t>BeyondSPX — Dreamland's Experiential Ascent: IP, Data, and Strategic Growth analysis, 2025</w:t>
      </w:r>
    </w:p>
    <w:p>
      <w:pPr>
        <w:spacing w:before="20" w:after="20"/>
        <w:ind w:left="170"/>
      </w:pPr>
      <w:r>
        <w:rPr>
          <w:rFonts w:ascii="Calibri" w:hAnsi="Calibri"/>
          <w:b/>
          <w:color w:val="4A6B25"/>
          <w:sz w:val="15"/>
        </w:rPr>
        <w:t xml:space="preserve">3. </w:t>
      </w:r>
      <w:r>
        <w:rPr>
          <w:rFonts w:ascii="Calibri" w:hAnsi="Calibri"/>
          <w:b w:val="0"/>
          <w:color w:val="3A4A28"/>
          <w:sz w:val="17"/>
        </w:rPr>
        <w:t>AInvest — Leadership Reshuffle and Delayed Filings Drive 86.23% Plunge in Dreamland (TDIC), October 2025</w:t>
      </w:r>
    </w:p>
    <w:p>
      <w:pPr>
        <w:spacing w:before="20" w:after="20"/>
        <w:ind w:left="170"/>
      </w:pPr>
      <w:r>
        <w:rPr>
          <w:rFonts w:ascii="Calibri" w:hAnsi="Calibri"/>
          <w:b/>
          <w:color w:val="4A6B25"/>
          <w:sz w:val="15"/>
        </w:rPr>
        <w:t xml:space="preserve">4. </w:t>
      </w:r>
      <w:r>
        <w:rPr>
          <w:rFonts w:ascii="Calibri" w:hAnsi="Calibri"/>
          <w:b w:val="0"/>
          <w:color w:val="3A4A28"/>
          <w:sz w:val="17"/>
        </w:rPr>
        <w:t>StockTitan / Investing.com — Dreamland receives Nasdaq non-compliance notice for minimum bid price, November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TDIC (Dreamland Limited),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