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w:t>
      </w:r>
      <w:r>
        <w:rPr>
          <w:rFonts w:ascii="Calibri" w:hAnsi="Calibri"/>
          <w:b/>
          <w:color w:val="1A2010"/>
          <w:sz w:val="40"/>
        </w:rPr>
        <w:t xml:space="preserve">  Toronto-Dominion Bank</w:t>
      </w:r>
    </w:p>
    <w:p>
      <w:pPr>
        <w:spacing w:after="120"/>
      </w:pPr>
      <w:r>
        <w:rPr>
          <w:rFonts w:ascii="Calibri" w:hAnsi="Calibri"/>
          <w:b/>
          <w:color w:val="6E8450"/>
          <w:sz w:val="18"/>
        </w:rPr>
        <w:t>DIVIDEND SLEEVE · 2026-04-14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The Toronto-Dominion Bank is one of Canada's 'Big Five' banks and the second-largest by assets, with a major U.S. retail banking presence (TD Bank, America's Most Convenient Bank). The bank is in the midst of a multi-year remediation of its U.S. anti-money-laundering program following a $3.09B 2024 DOJ settlement and operates under a U.S. asset cap. Led by CEO Raymond Chun (Feb 2025-).</w:t>
      </w:r>
    </w:p>
    <w:p>
      <w:r>
        <w:rPr>
          <w:rFonts w:ascii="Calibri" w:hAnsi="Calibri"/>
          <w:b/>
          <w:color w:val="6E8450"/>
          <w:sz w:val="18"/>
        </w:rPr>
        <w:t>95,000 Employees · https://www.td.com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TD's transition from the AML crisis under prior CEO Bharat Masrani to Raymond Chun's culture-and-AI-led rebuild is a meaningful pivot, with Q1 2026 record net income of CAD $4.2B, EPS of CAD $2.44 beating expectations, and 11% revenue growth [1][2]. AI Deployment (2/2): TD's Layer 6 Toronto-based AI research lab and 2,500-person data and AI engineering bench have driven specific quantified results — Chun is targeting CAD $1B in annual AI value (CAD $500M in cost savings + CAD $500M in revenue uplift), with mortgage approvals in hours not days and $150M targeted insurance claims cost reductions from AI [2]. Market Share (1/2): TD is the #2 Canadian bank and a top-10 U.S. retail bank by branches, but the U.S. asset cap is constraining share gains until AML remediation completes. Pipeline (1/2): Chun's multi-year strategy targets CAD $2-2.5B annual cost cuts, $8B in additional buybacks next year, and a 16% adjusted ROE by FY2029 — specific multi-year roadmap with quantified targets [2]. R&amp;D Intensity (1/1): TD's tech/AI investment via Layer 6 and the 2,500-person data team is above Canadian peer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TD's mission centers on enriching the lives of customers, communities, and colleagues — clear and identifiable but not transformative. The 2024 AML guilty plea and $3.09B fine represent a serious cultural failure that undermines mission credibility [1]. Community Impact (2/2): TD has committed to CAD $1B in community giving by 2030 across the 'Interconnected Drivers of Change' (Financial Security, Vibrant Planet, Connected Communities, Better Health), and the TD Pathways to Economic Inclusion strategy is a distinctive program with measurable scope [3]. Employee Retention (1/2): Bank has 95,000+ employees and Chun's 30+ year career at TD reflects internal leadership continuity, though the AML scandal and 'compliance-first' culture pivot is creating friction. Insider Buying (0/2): No notable open-market insider buying disclosed; recent activity is dominated by routine stock-based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TD's Q1 2026 metrics show a strong recovery. Forward P/E of 13.7 is below the 20 target, ROE of 17.8% is above the 15% target (and 14.2% adjusted in Q1 2026), revenue grew 21.1% YoY, and profit margin of 33.0% is above the 20% target [5]. Earnings growth of 51.3% YoY reflects the AML-charge base effect [5]. Debt-to-equity is N/A from yfinance for banks (typical) and excluded. The CET1 ratio of 14.5% is among the strongest of any major bank globally [1]. Dividend metrics are excellent: TD has paid dividends consecutively since 1857 (167+ years), a forward annualized dividend of ~$0.79/quarter USD with ~3.3% yield, and a multi-decade record of dividend growth [1]. Liquidity floor easily cleared: 2.56M avg vol × $102.04 = $261M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TD has 167+ years of continuous operation and dividend payments — a textbook infinite game track record. However, the 2024 AML guilty plea and $3.09B DOJ settlement represent the kind of finite-game cultural failure (compliance shortcuts in pursuit of growth) that Sinek would flag. New CEO Raymond Chun's 'accountability, curiosity, courage' rebuild is credible but unproven through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TD's purpose to enrich customers, communities and colleagues is genuine and lived out via 167+ years of dividend continuity, the CAD $1B community commitment, and the TD Pathways to Economic Inclusion program [3]. However, the AML scandal indicates the cause was not strong enough to override growth-at-all-costs incentives in the U.S. retail business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Chun is a 30+ year TD veteran promoted internally, which speaks to leadership continuity. Stable workforce of 95,000+ globally [2]. The compliance-first culture pivot is causing some near-term organizational friction. Adequate trust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 management openly references competitive dynamics with RBC, BMO, Scotiabank in Canada and U.S. money-center peers, with the AML remediation framed as catching up to peer compliance standards — a learning posture rather than destruction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 has expanded from a Canadian-only bank to a major U.S. retail player (TD Bank) and built Layer 6 as an AI research arm — meaningful evolution, not transformative pivot. The U.S. asset cap forces TD to find growth through productivity rather than balance sheet expansion, which Chun is leaning into via AI and cost cuts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Chun's willingness to set aggressive multi-year targets (16% adjusted ROE by FY2029, CAD $2-2.5B in cost cuts, CAD $1B AI value) and admit the cultural failures of the AML era reflects courage [2]. The asset cap and CAD $500M annual AML remediation spend through FY26 represent painful but necessary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Toronto-Dominion Bank is executing a credible post-AML turnaround under new CEO Raymond Chun. Q1 2026 net income hit a record CAD $4.2B with EPS of CAD $2.44 beating expectations, ROE of 14.2% (up 100 bps YoY) and revenue growth of 11% [1][2]. The bank's CET1 ratio of 14.5% is among the strongest of any major bank globally. TD has paid dividends continuously since 1857 (167+ years) with current yield of ~3.3% and Chun has guided to CAD $8B in additional buybacks next year [1]. The AI strategy is the most quantified of any North American bank — CAD $1B in annual AI value (CAD $500M cost savings + CAD $500M revenue uplift) via Layer 6 AI lab and a 2,500-person data team — with management indicating they will exceed that target [2]. Forward P/E of 13.7x is reasonable for a high-CET1, dividend-aristocrat bank executing a credible AI-led rebuild.</w:t>
      </w:r>
    </w:p>
    <w:p>
      <w:pPr>
        <w:spacing w:after="120"/>
      </w:pPr>
      <w:r>
        <w:rPr>
          <w:rFonts w:ascii="Calibri" w:hAnsi="Calibri"/>
          <w:b w:val="0"/>
          <w:color w:val="3A4A28"/>
          <w:sz w:val="20"/>
        </w:rPr>
        <w:t>The bear case centers on the U.S. asset cap and the long shadow of the 2024 AML guilty plea. The U.S. asset cap constrains balance sheet growth in the most attractive geographic market until AML remediation completes, with CAD $500M of annual remediation spend expected through FY26 [1]. The 2024 cultural failure that produced the largest-ever AML penalty against a major bank ($3.09B) reveals deep risk-management weaknesses, and 'compliance-first' culture pivots historically take 5-10 years to fully institutionalize. Chun is a credible internal leader but has only been CEO since February 2025, and his FY2029 16% ROE target is ambitious. Faith Alignment score of -67 is the most misaligned in this batch (negative attributions across both Abortion Activism and LGBT Activism). The 5-year EPS CAGR has been pressured by the AML charges and the recovery story is dependent on flawless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value capture exceeding the CAD $1B annual target — Chun has indicated upside to the goal as AI tools accelerate; deliverable across 2026-2027 [2]</w:t>
      </w:r>
    </w:p>
    <w:p>
      <w:pPr>
        <w:spacing w:before="40" w:after="40"/>
        <w:ind w:left="283"/>
      </w:pPr>
      <w:r>
        <w:rPr>
          <w:rFonts w:ascii="Calibri" w:hAnsi="Calibri"/>
          <w:b/>
          <w:color w:val="4A6B25"/>
          <w:sz w:val="20"/>
        </w:rPr>
        <w:t xml:space="preserve">2. </w:t>
      </w:r>
      <w:r>
        <w:rPr>
          <w:rFonts w:ascii="Calibri" w:hAnsi="Calibri"/>
          <w:b w:val="0"/>
          <w:color w:val="3A4A28"/>
          <w:sz w:val="20"/>
        </w:rPr>
        <w:t>U.S. asset cap removal post-AML remediation — the most significant rerating catalyst, expected over the medium term [1]</w:t>
      </w:r>
    </w:p>
    <w:p>
      <w:pPr>
        <w:spacing w:before="40" w:after="40"/>
        <w:ind w:left="283"/>
      </w:pPr>
      <w:r>
        <w:rPr>
          <w:rFonts w:ascii="Calibri" w:hAnsi="Calibri"/>
          <w:b/>
          <w:color w:val="4A6B25"/>
          <w:sz w:val="20"/>
        </w:rPr>
        <w:t xml:space="preserve">3. </w:t>
      </w:r>
      <w:r>
        <w:rPr>
          <w:rFonts w:ascii="Calibri" w:hAnsi="Calibri"/>
          <w:b w:val="0"/>
          <w:color w:val="3A4A28"/>
          <w:sz w:val="20"/>
        </w:rPr>
        <w:t>CAD $8B in additional buybacks plus continued dividend growth from a 167-year payment streak supports a low-double-digit total shareholder return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AML remediation execution — any further regulatory issues or asset cap extension would damage the rebuild narrative; CAD $500M annual remediation spend continues through FY26 [1]</w:t>
      </w:r>
    </w:p>
    <w:p>
      <w:pPr>
        <w:spacing w:before="40" w:after="40"/>
        <w:ind w:left="283"/>
      </w:pPr>
      <w:r>
        <w:rPr>
          <w:rFonts w:ascii="Calibri" w:hAnsi="Calibri"/>
          <w:b/>
          <w:color w:val="4A6B25"/>
          <w:sz w:val="20"/>
        </w:rPr>
        <w:t xml:space="preserve">2. </w:t>
      </w:r>
      <w:r>
        <w:rPr>
          <w:rFonts w:ascii="Calibri" w:hAnsi="Calibri"/>
          <w:b w:val="0"/>
          <w:color w:val="3A4A28"/>
          <w:sz w:val="20"/>
        </w:rPr>
        <w:t>U.S. asset cap constrains growth in the most attractive geographic market until full remediation [1]</w:t>
      </w:r>
    </w:p>
    <w:p>
      <w:pPr>
        <w:spacing w:before="40" w:after="40"/>
        <w:ind w:left="283"/>
      </w:pPr>
      <w:r>
        <w:rPr>
          <w:rFonts w:ascii="Calibri" w:hAnsi="Calibri"/>
          <w:b/>
          <w:color w:val="4A6B25"/>
          <w:sz w:val="20"/>
        </w:rPr>
        <w:t xml:space="preserve">3. </w:t>
      </w:r>
      <w:r>
        <w:rPr>
          <w:rFonts w:ascii="Calibri" w:hAnsi="Calibri"/>
          <w:b w:val="0"/>
          <w:color w:val="3A4A28"/>
          <w:sz w:val="20"/>
        </w:rPr>
        <w:t>Faith Alignment -67 (worst in this batch) reflects significant misalignment on both Abortion and LGBT activism, a meaningful concern for IOWN clients prioritizing values screening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Diversified banking is structurally protected from AI disruption — deposit-taking, regulated commercial and retail lending, AML compliance, wealth management, and capital markets all involve regulated processes and customer relationships AI cannot displace [2]. TD's AML challenges actually demonstrate the regulatory moat that protects banks from pure-AI substitution. AI does create efficiency pressure on call centers, branch staff, and underwriting workflows. AI Opportunity (1/1): TD has explicitly quantified AI opportunity at CAD $1B annual value (CAD $500M cost savings + CAD $500M revenue uplift), with Chun stating he expects to exceed the $1B target — specific quantification meets the AI Opportunity bar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TD Bank Q1 2026 Earnings Release — record CAD $4.2B net income, CAD $2.44 EPS, 14.2% adjusted ROE, February 2026</w:t>
      </w:r>
    </w:p>
    <w:p>
      <w:pPr>
        <w:spacing w:before="20" w:after="20"/>
        <w:ind w:left="170"/>
      </w:pPr>
      <w:r>
        <w:rPr>
          <w:rFonts w:ascii="Calibri" w:hAnsi="Calibri"/>
          <w:b/>
          <w:color w:val="4A6B25"/>
          <w:sz w:val="15"/>
        </w:rPr>
        <w:t xml:space="preserve">2. </w:t>
      </w:r>
      <w:r>
        <w:rPr>
          <w:rFonts w:ascii="Calibri" w:hAnsi="Calibri"/>
          <w:b w:val="0"/>
          <w:color w:val="3A4A28"/>
          <w:sz w:val="17"/>
        </w:rPr>
        <w:t>American Banker, Globe and Mail, Banking Dive — Raymond Chun multi-year strategy, AI value targets, AML remediation, 2025-2026</w:t>
      </w:r>
    </w:p>
    <w:p>
      <w:pPr>
        <w:spacing w:before="20" w:after="20"/>
        <w:ind w:left="170"/>
      </w:pPr>
      <w:r>
        <w:rPr>
          <w:rFonts w:ascii="Calibri" w:hAnsi="Calibri"/>
          <w:b/>
          <w:color w:val="4A6B25"/>
          <w:sz w:val="15"/>
        </w:rPr>
        <w:t xml:space="preserve">3. </w:t>
      </w:r>
      <w:r>
        <w:rPr>
          <w:rFonts w:ascii="Calibri" w:hAnsi="Calibri"/>
          <w:b w:val="0"/>
          <w:color w:val="3A4A28"/>
          <w:sz w:val="17"/>
        </w:rPr>
        <w:t>TD 2024 Sustainability Report — CAD $1B community commitment by 2030, Pathways to Economic Inclusion, March 2025</w:t>
      </w:r>
    </w:p>
    <w:p>
      <w:pPr>
        <w:spacing w:before="20" w:after="20"/>
        <w:ind w:left="170"/>
      </w:pPr>
      <w:r>
        <w:rPr>
          <w:rFonts w:ascii="Calibri" w:hAnsi="Calibri"/>
          <w:b/>
          <w:color w:val="4A6B25"/>
          <w:sz w:val="15"/>
        </w:rPr>
        <w:t xml:space="preserve">4. </w:t>
      </w:r>
      <w:r>
        <w:rPr>
          <w:rFonts w:ascii="Calibri" w:hAnsi="Calibri"/>
          <w:b w:val="0"/>
          <w:color w:val="3A4A28"/>
          <w:sz w:val="17"/>
        </w:rPr>
        <w:t>TD 2024 DOJ AML settlement coverage — $3.09B penalty, asset cap details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TD,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