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TECK</w:t>
      </w:r>
      <w:r>
        <w:rPr>
          <w:rFonts w:ascii="Calibri" w:hAnsi="Calibri"/>
          <w:b/>
          <w:color w:val="1A2010"/>
          <w:sz w:val="40"/>
        </w:rPr>
        <w:t xml:space="preserve">  Teck Resources Limited</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Teck Resources is a leading Canadian mining company focused on copper and zinc production. After divesting its coal and oil sands businesses, Teck operates through Copper and Zinc segments, producing copper, zinc, and lead concentrates along with refined metals, precious metals, molybdenum, and fertilizers. The pending Anglo American merger would create a global critical minerals champion with 70%+ copper exposure.</w:t>
      </w:r>
    </w:p>
    <w:p>
      <w:r>
        <w:rPr>
          <w:rFonts w:ascii="Calibri" w:hAnsi="Calibri"/>
          <w:b/>
          <w:color w:val="6E8450"/>
          <w:sz w:val="18"/>
        </w:rPr>
        <w:t>7,429 Employees · https://www.teck.com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Teck executed a transformative portfolio restructuring — selling its coal business to Glencore for US$8.9B and oil sands assets, pivoting from a diversified miner to a focused copper-zinc producer [1]. The Quebrada Blanca 2 (QB2) copper mine in Chile is expected to increase attributable copper production by ~75%. AI Deployment (1/2): Teck has deployed AI for vegetation management, predictive maintenance, and operational optimization across mining sites, with an Innovation Center applying data analytics and creative problem-solving [2]. These generate measurable efficiency gains but are not customer-facing products. Market Share (1/2): Teck is a significant copper and zinc producer globally, and the Anglo American merger would create the world's largest copper-focused miner headquartered in Vancouver with $800M in expected pre-tax annual synergies [1]. Pipeline (1/2): QB2 ramp-up provides visible production growth, and the Anglo American merger (Canadian government approval received December 2025) offers transformative scale with specific synergy targets [1]. R&amp;D Intensity (1/1): Teck's Ideas at Work Fund and dedicated Innovation team fund exploration of new mining technologies outside the normal budget process, demonstrating above-average R&amp;D commitment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Teck's purpose of 'responsibly providing the metals essential for economic development and the energy transition' connects mining to a larger societal purpose — the clean energy transition requires copper — but it's a sector-wide narrative rather than a distinctive Teck vision [2]. Community Impact (1/2): Teck operates in remote communities and has community investment programs, though the Elk Valley selenium contamination and Indigenous peoples' concerns about water pollution undermine the company's social license claims [3]. The Ktunaxa Nation has pushed since 2012 for international intervention on Elk Valley pollution. Employee Retention (1/2): CEO Jonathan Price (appointed 2023) brings deep industry experience from BHP, and the management team averages 2.9 years tenure. The SVP of Innovation emphasizes 'empowerment, innovation and performance' culture, but frequent leadership changes suggest ongoing evolution [2]. Insider Buying (1/2): No specific insider buying data was found, but the company's active share repurchase program signals management confidence in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Teck's balance sheet is solid for a mining company. D/E of 37.1% is well below the 70% target, with $5B cash partially offsetting $9.6B debt [5]. Revenue growth of 9.8% YoY reflects copper price strength and QB2 ramp-up, with TTM revenue of $7.7B USD [1]. Forward P/E of 18.8x is reasonable for a copper miner with production growth visibility. ROE of 4.0% is below target, compressed by the transition period and coal business divestiture — this should improve as QB2 reaches full capacity. Profit margin of 13.0% is healthy for a base metals miner. Estimated PEG of ~1.9 reflects moderate growth expectations relative to valuation. Analysts project structural copper deficits starting in 2026, providing commodity price support [1]. Liquidity easily cleared at $240M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Teck demonstrated remarkable existential flexibility by divesting coal and oil sands to become a focused copper-zinc miner aligned with the energy transition. The Anglo American merger represents bold long-term thinking. However, the environmental legacy of Elk Valley contamination and the governance controversies around the coal spinoff structure complicate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Teck's reorientation around 'providing the metals essential for the energy transition' is a genuine and increasingly validated purpose — the world needs copper for electrification, and Teck is building the infrastructure to supply it. The $8.9B coal divestiture and Anglo American merger are strategic decisions clearly aligned with this purpose. However, the environmental damage at Elk Valley suggests the cause hasn't been consistently lived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SVP of Innovation emphasizes 'transformational, empowering, participative and supportive leadership' and the Ideas at Work Fund empowers employees to bring forward innovative ideas [2]. The 36-year tenure of VP Risk Anne Chalmers shows deep institutional commitment. However, the management team's average tenure of only 2.9 years and the major leadership changes under CEO Price suggest the culture is still being built.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Teck's willingness to merge with Anglo American — acknowledging that combined scale creates a stronger entity than either alone — is a textbook infinite game move. Rather than competing to 'win' against Anglo, Teck chose collaboration to build a stronger platform for the energy transition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Teck fundamentally reinvented itself by selling coal (60% of revenue, 75% of profit) and oil sands, then pursuing the Anglo American merger to become a global copper champion. This is a textbook transformative pivot — abandoning the profitable core business in service of long-term relevance in the energy transition, even though coal was the primary profit driver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the coal business for $8.9B — which generated 75% of profit — required genuine courage, sacrificing near-term earnings power for long-term strategic positioning. The Anglo American merger pursuit also shows bold ambition [1]. However, the coal spinoff structure (with 90% cash flow royalties back to Teck for 11 years) was criticized as 'greenwashing' rather than a clean break, suggesting hedged rather than fully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Teck Resources is executing a transformative pivot from diversified mining to focused copper-zinc production, with the Anglo American merger (Canadian approval received December 2025) set to create a global critical minerals champion with 70%+ copper exposure and $800M in annual synergies [1]. QB2 in Chile is ramping to increase attributable copper production by ~75%, with TTM revenue already at $7.7B USD (up 29% YoY in CAD terms). Structural copper deficits projected from 2026 onward, driven by AI data center buildout and electrification, provide a secular commodity tailwind [1]. D/E of just 37.1% with $5B cash provides balance sheet flexibility, and at 18.8x forward P/E, the stock is reasonably valued for a copper miner with production growth visibility and merger-driven synergies [5]. Analyst EPS estimates surged 70% over the past 60 days, signaling growing confidence in operational momentum [1].</w:t>
      </w:r>
    </w:p>
    <w:p>
      <w:pPr>
        <w:spacing w:after="120"/>
      </w:pPr>
      <w:r>
        <w:rPr>
          <w:rFonts w:ascii="Calibri" w:hAnsi="Calibri"/>
          <w:b w:val="0"/>
          <w:color w:val="3A4A28"/>
          <w:sz w:val="20"/>
        </w:rPr>
        <w:t>The bear case centers on execution risk and ESG legacy issues. The Anglo American merger introduces integration complexity — combining two global mining organizations with different cultures, geographies, and operational practices creates multi-year execution risk. ROE of just 4.0% is weak, reflecting the transition period costs and QB2 ramp-up expenses [5]. Teck's environmental legacy at Elk Valley — selenium contamination, millions in fines, and Indigenous opposition from the Ktunaxa Nation since 2012 — represents ongoing reputational and financial liability [3]. The coal spinoff was criticized as 'greenwashing' given the 90% cash flow royalty structure, and the sale to Glencore (with its own poor ESG record) raised further concerns [3]. Copper price volatility remains a fundamental risk — a cyclical downturn could compress margins and devalue the QB2 investment. The $9.6B debt load and negative free cash flow (-$254M) create vulnerability in a commodity downturn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Anglo American merger completion creating Anglo Teck — a global copper champion with 70%+ copper exposure, $800M in pre-tax synergies, and enhanced scale in critical minerals [1]</w:t>
      </w:r>
    </w:p>
    <w:p>
      <w:pPr>
        <w:spacing w:before="40" w:after="40"/>
        <w:ind w:left="283"/>
      </w:pPr>
      <w:r>
        <w:rPr>
          <w:rFonts w:ascii="Calibri" w:hAnsi="Calibri"/>
          <w:b/>
          <w:color w:val="4A6B25"/>
          <w:sz w:val="20"/>
        </w:rPr>
        <w:t xml:space="preserve">2. </w:t>
      </w:r>
      <w:r>
        <w:rPr>
          <w:rFonts w:ascii="Calibri" w:hAnsi="Calibri"/>
          <w:b w:val="0"/>
          <w:color w:val="3A4A28"/>
          <w:sz w:val="20"/>
        </w:rPr>
        <w:t>QB2 copper mine reaching full production capacity, increasing Teck's attributable copper output by ~75% and driving revenue growth as structural copper deficits emerge in 2026 [1]</w:t>
      </w:r>
    </w:p>
    <w:p>
      <w:pPr>
        <w:spacing w:before="40" w:after="40"/>
        <w:ind w:left="283"/>
      </w:pPr>
      <w:r>
        <w:rPr>
          <w:rFonts w:ascii="Calibri" w:hAnsi="Calibri"/>
          <w:b/>
          <w:color w:val="4A6B25"/>
          <w:sz w:val="20"/>
        </w:rPr>
        <w:t xml:space="preserve">3. </w:t>
      </w:r>
      <w:r>
        <w:rPr>
          <w:rFonts w:ascii="Calibri" w:hAnsi="Calibri"/>
          <w:b w:val="0"/>
          <w:color w:val="3A4A28"/>
          <w:sz w:val="20"/>
        </w:rPr>
        <w:t>Structural copper deficit driven by AI data center buildout, electrification, and EV adoption supporting sustained copper price appreciation above $4/lb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Anglo American merger integration complexity — combining global operations, cultures, and regulatory frameworks across multiple countries creates multi-year execution risk with $800M synergy targets at stake [1]</w:t>
      </w:r>
    </w:p>
    <w:p>
      <w:pPr>
        <w:spacing w:before="40" w:after="40"/>
        <w:ind w:left="283"/>
      </w:pPr>
      <w:r>
        <w:rPr>
          <w:rFonts w:ascii="Calibri" w:hAnsi="Calibri"/>
          <w:b/>
          <w:color w:val="4A6B25"/>
          <w:sz w:val="20"/>
        </w:rPr>
        <w:t xml:space="preserve">2. </w:t>
      </w:r>
      <w:r>
        <w:rPr>
          <w:rFonts w:ascii="Calibri" w:hAnsi="Calibri"/>
          <w:b w:val="0"/>
          <w:color w:val="3A4A28"/>
          <w:sz w:val="20"/>
        </w:rPr>
        <w:t>Elk Valley selenium contamination legacy — ongoing fines, Indigenous opposition from the Ktunaxa Nation, and potential International Joint Commission referral creating financial and reputational liability [3]</w:t>
      </w:r>
    </w:p>
    <w:p>
      <w:pPr>
        <w:spacing w:before="40" w:after="40"/>
        <w:ind w:left="283"/>
      </w:pPr>
      <w:r>
        <w:rPr>
          <w:rFonts w:ascii="Calibri" w:hAnsi="Calibri"/>
          <w:b/>
          <w:color w:val="4A6B25"/>
          <w:sz w:val="20"/>
        </w:rPr>
        <w:t xml:space="preserve">3. </w:t>
      </w:r>
      <w:r>
        <w:rPr>
          <w:rFonts w:ascii="Calibri" w:hAnsi="Calibri"/>
          <w:b w:val="0"/>
          <w:color w:val="3A4A28"/>
          <w:sz w:val="20"/>
        </w:rPr>
        <w:t>Copper price cyclicality — a global economic downturn or demand disappointment could compress margins on the copper-heavy portfolio, with ROE already at just 4% and free cash flow negative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and zinc mining is structurally immune to AI disruption — AI cannot digitally replicate the extraction, processing, and refining of physical metals from the earth [2]. AI actually increases demand for Teck's primary product: copper is essential for data center electrical infrastructure, AI chip packaging, and the electrification of the energy grid needed to power AI workloads. Analysts project structural copper deficits starting in 2026 as AI-driven demand accelerates [1]. Teck's pivot to 70%+ copper exposure through the Anglo American merger positions it as a direct beneficiary of AI infrastructure buildout. Mining operations involve physical-world processes, heavy equipment, and geological expertise that no AI system can substitute. AI Opportunity (1/1): Teck generates indirect AI-linked revenue through copper sales to the AI supply chain and deploys AI internally for mining optimization and predictive maintenance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Teck Resources Q3 2025 Earnings, MarketBeat, Investing.com — TTM revenue $7.7B USD, EPS estimates surging 70%, QB2 ramp-up, Anglo American merger with $800M synergies</w:t>
      </w:r>
    </w:p>
    <w:p>
      <w:pPr>
        <w:spacing w:before="20" w:after="20"/>
        <w:ind w:left="170"/>
      </w:pPr>
      <w:r>
        <w:rPr>
          <w:rFonts w:ascii="Calibri" w:hAnsi="Calibri"/>
          <w:b/>
          <w:color w:val="4A6B25"/>
          <w:sz w:val="15"/>
        </w:rPr>
        <w:t xml:space="preserve">2. </w:t>
      </w:r>
      <w:r>
        <w:rPr>
          <w:rFonts w:ascii="Calibri" w:hAnsi="Calibri"/>
          <w:b w:val="0"/>
          <w:color w:val="3A4A28"/>
          <w:sz w:val="17"/>
        </w:rPr>
        <w:t>Teck Resources Leadership, Innovation Center — CEO Jonathan Price from BHP, SVP Innovation culture, Ideas at Work Fund, AI deployment in mining operations</w:t>
      </w:r>
    </w:p>
    <w:p>
      <w:pPr>
        <w:spacing w:before="20" w:after="20"/>
        <w:ind w:left="170"/>
      </w:pPr>
      <w:r>
        <w:rPr>
          <w:rFonts w:ascii="Calibri" w:hAnsi="Calibri"/>
          <w:b/>
          <w:color w:val="4A6B25"/>
          <w:sz w:val="15"/>
        </w:rPr>
        <w:t xml:space="preserve">3. </w:t>
      </w:r>
      <w:r>
        <w:rPr>
          <w:rFonts w:ascii="Calibri" w:hAnsi="Calibri"/>
          <w:b w:val="0"/>
          <w:color w:val="3A4A28"/>
          <w:sz w:val="17"/>
        </w:rPr>
        <w:t>Globe and Mail, MiningWatch Canada — Elk Valley selenium contamination, coal spinoff greenwashing criticism, Glencore sale concerns, Indigenous opposition from Ktunaxa Nation</w:t>
      </w:r>
    </w:p>
    <w:p>
      <w:pPr>
        <w:spacing w:before="20" w:after="20"/>
        <w:ind w:left="170"/>
      </w:pPr>
      <w:r>
        <w:rPr>
          <w:rFonts w:ascii="Calibri" w:hAnsi="Calibri"/>
          <w:b/>
          <w:color w:val="4A6B25"/>
          <w:sz w:val="15"/>
        </w:rPr>
        <w:t xml:space="preserve">4. </w:t>
      </w:r>
      <w:r>
        <w:rPr>
          <w:rFonts w:ascii="Calibri" w:hAnsi="Calibri"/>
          <w:b w:val="0"/>
          <w:color w:val="3A4A28"/>
          <w:sz w:val="17"/>
        </w:rPr>
        <w:t>Teck Resources Corporate Responsibility Report — ESG ratings, environmental programs, energy transition strategy</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TECK (Teck Resources),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