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TER</w:t>
      </w:r>
      <w:r>
        <w:rPr>
          <w:rFonts w:ascii="Calibri" w:hAnsi="Calibri"/>
          <w:b/>
          <w:color w:val="1A2010"/>
          <w:sz w:val="40"/>
        </w:rPr>
        <w:t xml:space="preserve">  Teradyne,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2026-04-08 · Inspire: 61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Semiconductor Equipment &amp; Materials · NMS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Teradyne designs and manufactures automatic test equipment for semiconductors, electronics, wireless, and robotics. The Semiconductor Test segment (79% of revenue) is the core business, complemented by Universal Robots (collaborative robotics) and Mobile Industrial Robots.</w:t>
      </w:r>
    </w:p>
    <w:p>
      <w:r>
        <w:rPr>
          <w:rFonts w:ascii="Calibri" w:hAnsi="Calibri"/>
          <w:b/>
          <w:color w:val="6E8450"/>
          <w:sz w:val="18"/>
        </w:rPr>
        <w:t>6,600 Employees · https://www.teradyne.com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Q4 2025 revenue surged 44% YoY to $1.083B, with full-year revenue of $3.19B up 13%. Compute revenue increased 90% YoY in 2025, demonstrating successful pivot to AI-driven semiconductor testing [1]. AI applications anticipated to account for up to 70% of Q1 2026 revenue shows transformative market positioning. AI Deployment (2/2): AI is integral to Teradyne's test solutions — testing the AI chips that power the industry. The company is both an AI enabler and AI beneficiary [1]. Market Share (2/2): Category leader in automated test equipment with dominant position in advanced semiconductor testing, especially for AI/compute chips [1]. Pipeline (1/2): Q1 2026 guidance of $1.15-1.25B revenue shows continued momentum; robotics segment (Universal Robots, MiR) provides diversification. R&amp;D Intensity (0/1): R&amp;D at industry average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Clear mission around enabling technology innovation through test solutions, identifying purpose but not deeply distinctive. Community Impact (1/2): 6,600 employees with standard corporate citizenship programs. Employee Retention (1/2): Stable workforce with reasonable retention in competitive semiconductor equipment market. Insider Buying (1/2): Some insider transactions with dividend payments showing management alignment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Teradyne shows mixed financial metrics. Revenue growth of 43.9% YoY is exceptional, driven by AI semiconductor test demand [1]. However, forward P/E of 38.8 is expensive relative to the 20 target, and profit margin of 17.4% is below the 20% target. ROE of 19.7% exceeds the 15% target. D/E of 10.1% is very conservative. The stock trades at $320.48 with $1.1B daily liquidity. PEG ratio unavailable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Teradyne demonstrates infinite game qualities through its long-term investment in robotics (Universal Robots) alongside the core semiconductor test business, and its patient approach to building the collaborative robotics market over a decade.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Genuine cause (2 pts → 7/10): Teradyne's vision of enabling the world's technology through test and automation connects to a genuine purpose validated by decades of semiconductor industry partnership. The robotics division extends this to human-scale automation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Adequate trust (1 pt → 6/10): 6,600 employees with stable leadership and consistent execution. No exceptional culture signals but no red flags either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Infinite mindset (1 pt → 10/10): Teradyne acknowledges Advantest and other ATE competitors, using competitive dynamics to drive innovation in its test platforms and expand into adjacent markets like robotics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flexibility (1 pt → 6/10): The acquisition and development of Universal Robots and MiR shows willingness to expand beyond traditional semiconductor test into collaborative robotics — a meaningful strategic extension of the core mission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courage (1 pt → 6/10): Investing in robotics through multiple years of modest returns while the market questioned the strategy demonstrated conviction in long-term automation trends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Teradyne is the essential gatekeeper of the AI chip revolution — every advanced semiconductor must be tested, and Q4 2025 revenue surged 44% YoY to $1.083B as AI-driven compute testing grew 90% [1]. Full-year revenue of $3.19B with Q1 2026 guidance of $1.15-1.25B shows accelerating momentum. AI applications are expected to drive 70% of Q1 2026 revenue, positioning Teradyne as a pure-play AI infrastructure beneficiary. The robotics segment (Universal Robots, MiR) provides long-term optionality in collaborative automation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valuation and cyclicality. At forward P/E of 38.8 and trailing P/E of 92.6, the stock prices in significant growth continuation [1]. Semiconductor test equipment is historically cyclical, and the current AI-driven super-cycle may moderate. Revenue concentration in semiconductor test (79%) creates exposure to chip capex cycles. The robotics segment ($89M Q4 revenue) remains subscale relative to expectations after years of investment. Profit margin of 17.4% is below premium tech peers, limiting earnings leverage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 semiconductor testing demand acceleration — 70% of Q1 2026 revenue from AI applications, with compute testing up 90% YoY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Robotics segment scaling — Universal Robots and MiR approaching critical mass as manufacturing automation adoption accelerates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Processing capacity expansion of ~300 MMcf/d expected mid-2026, driving production growth toward 2.5 Bcfe/d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Valuation risk — forward P/E of 38.8 assumes sustained AI-driven growth; any semiconductor capex slowdown could compress multiples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Cyclicality — semiconductor test equipment spending is historically volatile and the current AI super-cycle may peak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Robotics underperformance — segment remains subscale after years of investment, risking capital misallocation perception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Teradyne IS AI infrastructure — every advanced AI chip from NVIDIA, AMD, and Broadcom must be tested before deployment. AI cannot displace semiconductor test equipment; it increases demand for it [1]. AI applications drove 70% of Q1 2026 revenue guidance. The company's position as gatekeeper of chip quality becomes more critical as AI chip complexity increases. AI Opportunity (1/1): AI-driven semiconductor testing generated the 90% YoY compute revenue increase and is the primary growth driver, with specific revenue quantification across the business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61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Teradyne Q4 2025 Results — $1.083B revenue (+44% YoY), $3.19B full year, compute +90%,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Teradyne Q1 2026 Guidance — $1.15-1.25B revenue, AI 70% of revenue, EPS $1.82-2.19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/ yfinance data for TER (Teradyne),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