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TEVA</w:t>
      </w:r>
      <w:r>
        <w:rPr>
          <w:rFonts w:ascii="Calibri" w:hAnsi="Calibri"/>
          <w:b/>
          <w:color w:val="1A2010"/>
          <w:sz w:val="40"/>
        </w:rPr>
        <w:t xml:space="preserve">  Teva Pharmaceutical Industries Limited</w:t>
      </w:r>
    </w:p>
    <w:p>
      <w:pPr>
        <w:spacing w:after="120"/>
      </w:pPr>
      <w:r>
        <w:rPr>
          <w:rFonts w:ascii="Calibri" w:hAnsi="Calibri"/>
          <w:b/>
          <w:color w:val="6E8450"/>
          <w:sz w:val="18"/>
        </w:rPr>
        <w:t>GROWTH SLEEVE · 2026-03-27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Israel</w:t>
      </w:r>
    </w:p>
    <w:p>
      <w:pPr>
        <w:spacing w:after="80"/>
      </w:pPr>
      <w:r>
        <w:rPr>
          <w:rFonts w:ascii="Calibri" w:hAnsi="Calibri"/>
          <w:b w:val="0"/>
          <w:color w:val="3A4A28"/>
          <w:sz w:val="20"/>
        </w:rPr>
        <w:t>Teva Pharmaceutical Industries is the world's largest generic drug manufacturer and an increasingly significant innovative pharmaceutical company. The company develops, manufactures, and distributes generic medicines, biosimilars, and branded drugs including Austedo, Ajovy, and Uzedy across the United States, Europe, Israel, and international markets.</w:t>
      </w:r>
    </w:p>
    <w:p>
      <w:r>
        <w:rPr>
          <w:rFonts w:ascii="Calibri" w:hAnsi="Calibri"/>
          <w:b/>
          <w:color w:val="6E8450"/>
          <w:sz w:val="18"/>
        </w:rPr>
        <w:t>31,173 Employees · https://www.tevapharm.com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CEO Richard Francis's 'Pivot to Growth' strategy has transformed Teva from a declining generics company to a growing biopharma, delivering 12 consecutive quarters of growth and reporting net profit of $1.4B versus a $1.6B loss the prior year [1]. AI Deployment (0/2): No disclosed AI deployment with measurable results in drug development, manufacturing, or operations [1]. Market Share Leadership (2/2): Teva is the #1 global generic drug company by volume and Austedo achieved $2.2B in U.S. sales (up 35% YoY), establishing category leadership in tardive dyskinesia/Huntington's disease treatment [1]. Product Pipeline (2/2): Strong pipeline including Austedo XR (once-daily reformulation launched), biosimilars Selarsdi and Epysqli launched, plus Prolia/Xgeva/Eylea biosimilar submissions targeting high-value originator markets, and the duvakitug partnership with Sanofi generating a $500M milestone [1]. R&amp;D Intensity (1/1): R&amp;D investment increased as Teva shifts toward innovative products, above industry average for generic manufacturers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Teva's mission to make healthcare accessible through affordable medicines is meaningful and directly tied to its business model, though articulation is functional rather than aspirational [1]. Community Impact (1/2): As the world's largest generic manufacturer, Teva provides critical access to affordable medicines globally, a genuine social good, but past opioid settlement liabilities ($4.25B) tarnish the company's community standing [2]. Employee Retention (1/2): Teva has undergone significant restructuring over the past five years with headcount reductions, creating cultural disruption, though stabilization appears underway [1]. Insider Buying (1/2): CEO Francis has delivered consistently on guidance and the board maintains confidence, but insider transaction data shows mixed signals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Teva's forward P/E of 9.6 is attractively valued for a pharmaceutical company with growing innovative revenue streams [1]. D/E of 217.7% is elevated but improving — debt reduced by $976M in 2025, with total debt at $16.8B [1]. ROE of 20.8% exceeds the 15% target, though profit margin of 8.2% is below the 20% threshold. Revenue grew 11.4% YoY with 2026 guidance of $16.4-16.8B (slight decline due to one-time Sanofi milestone in 2025) [1]. Gross margin expanded 310 bps to 51.8%, reflecting the innovative product mix shift [1]. Daily dollar volume of ~$269M provides strong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Teva's 'Pivot to Growth' transformation from a declining generics company to an innovative biopharma represents genuine strategic evolution, but the massive debt burden and opioid settlement liabilities create finite-game pressures that constrain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healthcare accessible through affordable generic medicines is a meaningful cause with direct social impact, though Teva's past opioid distribution controversies complicate the narrative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Francis has stabilized the organization after years of turmoil, but extensive restructuring and headcount reductions have eroded institutional trust that takes years to rebuild [1].</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Teva competes against Viatris, Sandoz, and innovative pharma companies, using its scale in generics and growing innovative portfolio as differentiation rather than pure price competition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to Growth' represents genuine existential flexibility — transforming from a declining generics company into a growing innovative biopharma with Austedo, Ajovy, and a robust biosimilar pipeline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Francis declared 'I think we pivoted' after three years of execution, demonstrating follow-through on a bold strategic vision, though debt reduction has been slower than originally targeted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Teva's transformation is delivering tangible results — Austedo grew 35% to $2.2B, gross margin expanded 310 bps to 51.8%, and the company swung from a $1.6B loss to $1.4B profit in 2025 [1]. At a forward P/E of 9.6x with adjusted EPS of $2.93 (beating guidance of $2.55-2.65), Teva offers compelling value with multiple growth catalysts. The biosimilar pipeline targeting Prolia, Xgeva, and Eylea biosimilars could generate billions in additional revenue, and the Sanofi duvakitug partnership adds optionality. Debt reduction of $976M in 2025 shows deleveraging commitment, and the stock's 2.5x increase from its $12.47 low still leaves upside to peer multiples [1].</w:t>
      </w:r>
    </w:p>
    <w:p>
      <w:pPr>
        <w:spacing w:after="120"/>
      </w:pPr>
      <w:r>
        <w:rPr>
          <w:rFonts w:ascii="Calibri" w:hAnsi="Calibri"/>
          <w:b w:val="0"/>
          <w:color w:val="3A4A28"/>
          <w:sz w:val="20"/>
        </w:rPr>
        <w:t>The primary risk is Teva's $16.8B debt burden and $4.25B opioid settlement liability that constrain capital allocation and create refinancing risk [1]. 2026 revenue guidance of $16.4-16.8B represents a decline from 2025's $17.3B (excluding the one-time $500M Sanofi milestone), and generic pricing erosion remains a structural headwind. Austedo faces potential generic competition in the late 2020s, and the stock has declined 20% from its $37.35 high, suggesting the easy gains from the turnaround may be behind it. Biosimilar launches are competitive and margin compression is typical as markets mature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Biosimilar launches targeting Prolia, Xgeva, and Eylea represent multi-billion dollar market opportunities with regulatory submissions already filed [1]</w:t>
      </w:r>
    </w:p>
    <w:p>
      <w:pPr>
        <w:spacing w:before="40" w:after="40"/>
        <w:ind w:left="283"/>
      </w:pPr>
      <w:r>
        <w:rPr>
          <w:rFonts w:ascii="Calibri" w:hAnsi="Calibri"/>
          <w:b/>
          <w:color w:val="4A6B25"/>
          <w:sz w:val="20"/>
        </w:rPr>
        <w:t xml:space="preserve">2. </w:t>
      </w:r>
      <w:r>
        <w:rPr>
          <w:rFonts w:ascii="Calibri" w:hAnsi="Calibri"/>
          <w:b w:val="0"/>
          <w:color w:val="3A4A28"/>
          <w:sz w:val="20"/>
        </w:rPr>
        <w:t>Austedo XR launch and European expansion could drive the franchise above $2.55B guided for 2026 [1]</w:t>
      </w:r>
    </w:p>
    <w:p>
      <w:pPr>
        <w:spacing w:before="40" w:after="40"/>
        <w:ind w:left="283"/>
      </w:pPr>
      <w:r>
        <w:rPr>
          <w:rFonts w:ascii="Calibri" w:hAnsi="Calibri"/>
          <w:b/>
          <w:color w:val="4A6B25"/>
          <w:sz w:val="20"/>
        </w:rPr>
        <w:t xml:space="preserve">3. </w:t>
      </w:r>
      <w:r>
        <w:rPr>
          <w:rFonts w:ascii="Calibri" w:hAnsi="Calibri"/>
          <w:b w:val="0"/>
          <w:color w:val="3A4A28"/>
          <w:sz w:val="20"/>
        </w:rPr>
        <w:t>Continued debt reduction below $16B would improve credit profile and reduce interest expense, directly flowing to EPS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$16.8B debt and $4.25B opioid settlement create significant financial overhang that constrains investment capacity and creates refinancing risk [1]</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$16.4-16.8B represents a decline excluding Sanofi milestones, raising questions about organic growth sustainability [1]</w:t>
      </w:r>
    </w:p>
    <w:p>
      <w:pPr>
        <w:spacing w:before="40" w:after="40"/>
        <w:ind w:left="283"/>
      </w:pPr>
      <w:r>
        <w:rPr>
          <w:rFonts w:ascii="Calibri" w:hAnsi="Calibri"/>
          <w:b/>
          <w:color w:val="4A6B25"/>
          <w:sz w:val="20"/>
        </w:rPr>
        <w:t xml:space="preserve">3. </w:t>
      </w:r>
      <w:r>
        <w:rPr>
          <w:rFonts w:ascii="Calibri" w:hAnsi="Calibri"/>
          <w:b w:val="0"/>
          <w:color w:val="3A4A28"/>
          <w:sz w:val="20"/>
        </w:rPr>
        <w:t>Austedo generic entry risk in the late 2020s could undermine Teva's most important growth driver and margin contributor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Teva's pharmaceutical manufacturing, biosimilar development, and global distribution network are physically intensive and heavily regulated activities that AI cannot easily displace [1]. However, AI-driven drug discovery could accelerate generic competition against Teva's innovative products, and AI-powered clinical trial design could reduce the time advantage Teva has in biosimilar development. AI Opportunity (1/1): AI-driven manufacturing optimization and supply chain management represent unrealized opportunities for Teva's massive global operations, though no specific AI initiatives are disclosed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Teva Pharmaceutical Q4 and Full 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TEVA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Teva Pharmaceutical Investor Relations,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