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TEX</w:t>
      </w:r>
      <w:r>
        <w:rPr>
          <w:rFonts w:ascii="Calibri" w:hAnsi="Calibri"/>
          <w:b/>
          <w:color w:val="1A2010"/>
          <w:sz w:val="40"/>
        </w:rPr>
        <w:t xml:space="preserve">  Terex Corporation</w:t>
      </w:r>
    </w:p>
    <w:p>
      <w:pPr>
        <w:spacing w:after="120"/>
      </w:pPr>
      <w:r>
        <w:rPr>
          <w:rFonts w:ascii="Calibri" w:hAnsi="Calibri"/>
          <w:b/>
          <w:color w:val="6E8450"/>
          <w:sz w:val="18"/>
        </w:rPr>
        <w:t>GROWTH SLEEVE · 2026-04-20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Farm &amp; Heavy Construction Machinery · NYSE · United States</w:t>
      </w:r>
    </w:p>
    <w:p>
      <w:pPr>
        <w:spacing w:after="80"/>
      </w:pPr>
      <w:r>
        <w:rPr>
          <w:rFonts w:ascii="Calibri" w:hAnsi="Calibri"/>
          <w:b w:val="0"/>
          <w:color w:val="3A4A28"/>
          <w:sz w:val="20"/>
        </w:rPr>
        <w:t>Terex Corporation manufactures industrial equipment across three segments: Materials Processing (crushers, screens, washing systems), Aerials (aerial work platforms and telehandlers under the Genie brand), and Environmental Solutions (refuse collection, recycling equipment, utility equipment). Founded in 1933 and headquartered in Norwalk, Connecticut, Terex serves construction, infrastructure, recycling, and utility markets worldwide.</w:t>
      </w:r>
    </w:p>
    <w:p>
      <w:r>
        <w:rPr>
          <w:rFonts w:ascii="Calibri" w:hAnsi="Calibri"/>
          <w:b/>
          <w:color w:val="6E8450"/>
          <w:sz w:val="18"/>
        </w:rPr>
        <w:t>10,700 Employees · https://www.terex.com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Terex completed the transformative $2B acquisition of Environmental Solutions Group (ESG) from Dover Corporation in October 2024, adding waste management and recycling equipment to create a third business segment [1][3]. This represents a major strategic pivot toward sustainability-oriented markets. Additionally, 89% of product portfolios now offer alternative power options [3]. AI Deployment (1/2): Terex acquired ZenRobotics (AI-powered robotic waste sorting) and operates Connected Collections and Soft-Pak hauler software platforms, demonstrating measurable AI integration in the Environmental Solutions segment [4]. Market Share (1/2): Terex holds #2 market position globally in aerial work platforms (Genie brand behind JLG/Oshkosh) and strong positions in materials processing, but faces intense competition across all segments [1]. Pipeline (1/2): 2026 revenue guidance of $7.5-8.1B (up from $5.4B in 2025) driven by 11 months of ESG contribution and $75M target synergies, with bookings growing 32% YoY to a 145% book-to-bill ratio [1]. R&amp;D Intensity (1/1): Investment in ZenRobotics AI sorting, alternative power platforms, and Connected Collections software demonstrates above-average R&amp;D commitment for an industrial equipment manufacturer [3][4].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Terex articulates the 'Terex Way Values' — Integrity, Respect, Improvement, Servant Leadership, Courage, and Citizenship — which are specific and actively championed by leadership, particularly Servant Leadership [2]. However, these are cultural values rather than a transformative mission that envisions a better future state. Community Impact (1/2): Terex has published sustainability reports, created nine diversity/equity/inclusion affinity groups, and invested in zero-harm safety culture with injury prevention initiatives [3]. Employee Retention (1/2): Glassdoor rating of 3.6/5 with 969 reviews is solid for an industrial company, and employees positively cite Servant Leadership culture, though some reviews note lack of innovation support and layoffs [2]. Insider Buying (1/2): CEO Simon Meester was appointed January 2024 and has been actively reshaping the portfolio through the $2B ESG acquisition, demonstrating strategic commitment, though specific insider purchase data was not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Terex's financial profile is strengthening post-ESG acquisition. Forward P/E of 10.6x on $5.73 expected EPS is attractively valued, and PEG of 1.65 reflects reasonable growth-adjusted pricing [5]. Revenue of $5.4B grew 6.2% YoY with 2026 guidance of $7.5-8.1B representing ~40% growth (11 months ESG contribution) [1]. D/E of 129.5% is elevated from acquisition financing ($2.7B total debt) but manageable with $772M cash and $345M FCF [5]. ROE of 11.3% is solid though below the 15% target, and profit margin of 4.1% reflects integration costs that should improve as $75M synergies are realized [1]. Operating cash flow of $440M and FCF of $345M demonstrate strong cash generation. EBITDA guidance of $930M-$1B with 12.4% margin at midpoint signals margin expansion [1]. Bookings growth of 32% YoY with 145% book-to-bill is a powerful leading indicator [1]. Liquidity floor easily clears: 1.95M avg volume × $60.82 = $118.7M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Terex demonstrates meaningful infinite-game characteristics — a 93-year operating history, articulated Servant Leadership values actively championed by leadership, and the strategic $2B ESG acquisition that positions the company for sustainability-driven growth. The Terex Way Values provide an authentic cultural foundation, though the company's history includes significant restructurings and the recent CEO transition introduces some uncertainty.</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Terex's 'Purposeful Innovation' philosophy and Terex Way Values (Integrity, Respect, Improvement, Servant Leadership, Courage, Citizenship) provide a distinctive cultural framework actively championed by leadership [2]. The $2B acquisition of Environmental Solutions Group signals a strategic commitment to sustainability that could evolve into a genuine Just Cause. However, the purpose still reads more as 'building great equipment' than a transformative vision of the future. The 93-year operating history demonstrates endurance.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3.6/5 across 969 reviews is above-average for an industrial manufacturer, and multiple employees cite Servant Leadership as a genuine cultural strength [2]. CEO Meester actively advocates for this leadership philosophy. The company has nine D&amp;I affinity groups and a zero-harm safety culture initiative [3]. However, some reviews cite layoffs and insufficient innovation support, suggesting trust is not uniformly experienced across the organization.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Terex competes against Caterpillar, JLG (Oshkosh), and Komatsu in equipment, and Republic Services and Waste Management in environmental solutions. The ESG acquisition suggests Terex is learning from waste industry leaders and entering their space, but the competitive language from management focuses primarily on market share and bookings growth rather than improvement-oriented framing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$2B acquisition of Environmental Solutions Group represents exactly the kind of dramatic strategic pivot Sinek describes — Terex fundamentally reshaped its portfolio to add a third major segment oriented toward waste management and recycling [1][3]. Moving 89% of products to alternative power options shows willingness to evolve the core offering [3]. This is a company that has reinvented itself multiple times over 93 years, demonstrating genuine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Meester showed courage in executing the $2B ESG acquisition in his first year as CEO, taking on significant debt to reposition the company for long-term sustainability-oriented growth [1]. Setting ambitious 2026 guidance of $7.5-8.1B revenue (vs $5.4B in 2025) demonstrates confidence in the strategic direction. The 32% bookings growth and 145% book-to-bill suggest the market is validating the strategy [1]. However, the elevated D/E of 129.5% from acquisition financing creates risk if integration stumbles.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Terex is a 93-year industrial equipment manufacturer executing a transformative strategic shift through the $2B Environmental Solutions Group acquisition, which expands its addressable market into waste management, recycling, and utility equipment [1][3]. 2026 revenue guidance of $7.5-8.1B represents ~40% growth from $5.4B in 2025, with EBITDA guidance of $930M-$1B at 12.4% margin and EPS guidance of $4.50-5.00 [1]. Bookings surged 32% YoY with a 145% book-to-bill ratio across all three segments, providing strong forward visibility [1]. FCF of $345M, Forward P/E of 10.6x, and PEG of 1.65 suggest the stock is attractively valued for the growth profile. ZenRobotics AI-powered waste sorting and Connected Collections software add technology differentiation to the portfolio [4].</w:t>
      </w:r>
    </w:p>
    <w:p>
      <w:pPr>
        <w:spacing w:after="120"/>
      </w:pPr>
      <w:r>
        <w:rPr>
          <w:rFonts w:ascii="Calibri" w:hAnsi="Calibri"/>
          <w:b w:val="0"/>
          <w:color w:val="3A4A28"/>
          <w:sz w:val="20"/>
        </w:rPr>
        <w:t>The bear case centers on integration risk and leverage. The $2B ESG acquisition increased D/E to 129.5% with $2.7B total debt, and profit margin of only 4.1% leaves limited room for error during integration [1][5]. The $75M synergy target ($28M in FY2026) is ambitious and unproven — failure to realize synergies would pressure EBITDA margins. ROE of 11.3% is below the 15% target, partly reflecting acquisition dilution. The stock has traded down from its 50-day SMA of $62.74 to $60.82 amid tariff uncertainty and industrial cycle concerns [5]. Terex's heavy construction and materials processing markets are cyclical and sensitive to infrastructure spending and interest rates. Gross margins of 19.4% are thin for a company trading at $6.9B market cap, and competition from Caterpillar, Oshkosh (JLG), and Komatsu is intense. Tariff escalation could significantly impact costs across Terex's global supply chain.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ESG acquisition integration — achieving $28M of the $75M synergy target in FY2026 and demonstrating margin expansion from the 12.4% EBITDA margin midpoint would validate the strategic pivot [1]</w:t>
      </w:r>
    </w:p>
    <w:p>
      <w:pPr>
        <w:spacing w:before="40" w:after="40"/>
        <w:ind w:left="283"/>
      </w:pPr>
      <w:r>
        <w:rPr>
          <w:rFonts w:ascii="Calibri" w:hAnsi="Calibri"/>
          <w:b/>
          <w:color w:val="4A6B25"/>
          <w:sz w:val="20"/>
        </w:rPr>
        <w:t xml:space="preserve">2. </w:t>
      </w:r>
      <w:r>
        <w:rPr>
          <w:rFonts w:ascii="Calibri" w:hAnsi="Calibri"/>
          <w:b w:val="0"/>
          <w:color w:val="3A4A28"/>
          <w:sz w:val="20"/>
        </w:rPr>
        <w:t>Bookings conversion — 32% YoY bookings growth with 145% book-to-bill ratio provides a powerful revenue tailwind through 2026 if sustained [1]</w:t>
      </w:r>
    </w:p>
    <w:p>
      <w:pPr>
        <w:spacing w:before="40" w:after="40"/>
        <w:ind w:left="283"/>
      </w:pPr>
      <w:r>
        <w:rPr>
          <w:rFonts w:ascii="Calibri" w:hAnsi="Calibri"/>
          <w:b/>
          <w:color w:val="4A6B25"/>
          <w:sz w:val="20"/>
        </w:rPr>
        <w:t xml:space="preserve">3. </w:t>
      </w:r>
      <w:r>
        <w:rPr>
          <w:rFonts w:ascii="Calibri" w:hAnsi="Calibri"/>
          <w:b w:val="0"/>
          <w:color w:val="3A4A28"/>
          <w:sz w:val="20"/>
        </w:rPr>
        <w:t>Alternative power and AI — 89% of portfolio offering alternative power options and ZenRobotics AI waste sorting position Terex for sustainability-driven demand growth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 $2B ESG acquisition increased leverage to 129.5% D/E; failure to achieve $75M synergies and margin expansion could strain the balance sheet [1][5]</w:t>
      </w:r>
    </w:p>
    <w:p>
      <w:pPr>
        <w:spacing w:before="40" w:after="40"/>
        <w:ind w:left="283"/>
      </w:pPr>
      <w:r>
        <w:rPr>
          <w:rFonts w:ascii="Calibri" w:hAnsi="Calibri"/>
          <w:b/>
          <w:color w:val="4A6B25"/>
          <w:sz w:val="20"/>
        </w:rPr>
        <w:t xml:space="preserve">2. </w:t>
      </w:r>
      <w:r>
        <w:rPr>
          <w:rFonts w:ascii="Calibri" w:hAnsi="Calibri"/>
          <w:b w:val="0"/>
          <w:color w:val="3A4A28"/>
          <w:sz w:val="20"/>
        </w:rPr>
        <w:t>Cyclical exposure — heavy construction and infrastructure equipment demand is sensitive to economic cycles, interest rates, and government spending; tariff uncertainty adds cost pressure [1]</w:t>
      </w:r>
    </w:p>
    <w:p>
      <w:pPr>
        <w:spacing w:before="40" w:after="40"/>
        <w:ind w:left="283"/>
      </w:pPr>
      <w:r>
        <w:rPr>
          <w:rFonts w:ascii="Calibri" w:hAnsi="Calibri"/>
          <w:b/>
          <w:color w:val="4A6B25"/>
          <w:sz w:val="20"/>
        </w:rPr>
        <w:t xml:space="preserve">3. </w:t>
      </w:r>
      <w:r>
        <w:rPr>
          <w:rFonts w:ascii="Calibri" w:hAnsi="Calibri"/>
          <w:b w:val="0"/>
          <w:color w:val="3A4A28"/>
          <w:sz w:val="20"/>
        </w:rPr>
        <w:t>Thin margins — profit margin of 4.1% and gross margin of 19.4% leave minimal buffer for supply chain disruptions, raw material cost increases, or revenue shortfalls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Terex's core business — manufacturing physical heavy equipment including aerial work platforms, crushers, waste collection vehicles, and utility equipment — is structurally immune to AI substitution [4]. Construction equipment, waste management trucks, and material processing machinery are physical products that require steel fabrication, assembly, hydraulic systems, and field service. No AI tool can replace a scissor lift or a refuse collection body. The regulatory environment (OSHA, EPA) and physical infrastructure requirements create additional barriers. However, AI-driven automation in construction planning and autonomous equipment development by competitors (Caterpillar, Komatsu) could eventually pressure Terex in specific segments. AI Opportunity (1/1): Terex generates AI-related revenue through ZenRobotics (AI-powered robotic waste sorting) and Connected Collections software platform, demonstrating quantifiable AI revenue from its Environmental Solutions segment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Terex Q4 and Full Year 2025 Results — sales $5.4B, Q4 +6.2% YoY, 2026 guidance $7.5-8.1B revenue, $930M-$1B EBITDA, $4.50-5.00 EPS, bookings +32% YoY,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(969, 3.6/5 rating), Simply Wall St — CEO Simon Meester (appointed Jan 2024, $6.62M comp), Servant Leadership culture, Terex Way Values</w:t>
      </w:r>
    </w:p>
    <w:p>
      <w:pPr>
        <w:spacing w:before="20" w:after="20"/>
        <w:ind w:left="170"/>
      </w:pPr>
      <w:r>
        <w:rPr>
          <w:rFonts w:ascii="Calibri" w:hAnsi="Calibri"/>
          <w:b/>
          <w:color w:val="4A6B25"/>
          <w:sz w:val="15"/>
        </w:rPr>
        <w:t xml:space="preserve">3. </w:t>
      </w:r>
      <w:r>
        <w:rPr>
          <w:rFonts w:ascii="Calibri" w:hAnsi="Calibri"/>
          <w:b w:val="0"/>
          <w:color w:val="3A4A28"/>
          <w:sz w:val="17"/>
        </w:rPr>
        <w:t>Terex ESG/Sustainability Reports — $2B Environmental Solutions Group acquisition (Oct 2024), 89% alternative power portfolio, zero-harm safety culture, 9 D&amp;I affinity groups</w:t>
      </w:r>
    </w:p>
    <w:p>
      <w:pPr>
        <w:spacing w:before="20" w:after="20"/>
        <w:ind w:left="170"/>
      </w:pPr>
      <w:r>
        <w:rPr>
          <w:rFonts w:ascii="Calibri" w:hAnsi="Calibri"/>
          <w:b/>
          <w:color w:val="4A6B25"/>
          <w:sz w:val="15"/>
        </w:rPr>
        <w:t xml:space="preserve">4. </w:t>
      </w:r>
      <w:r>
        <w:rPr>
          <w:rFonts w:ascii="Calibri" w:hAnsi="Calibri"/>
          <w:b w:val="0"/>
          <w:color w:val="3A4A28"/>
          <w:sz w:val="17"/>
        </w:rPr>
        <w:t>Terex company website — ZenRobotics AI waste sorting, Connected Collections software, Genie brand aerial platforms, materials processing portfolio</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TEX — price $60.82, market cap $6.9B, D/E 129.5%, ROE 11.3%, FCF $345M, PEG 1.65, avg volume 1.95M,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