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w:t>
      </w:r>
      <w:r>
        <w:rPr>
          <w:rFonts w:ascii="Calibri" w:hAnsi="Calibri"/>
          <w:b/>
          <w:color w:val="1A2010"/>
          <w:sz w:val="40"/>
        </w:rPr>
        <w:t xml:space="preserve">  T1 Energy Inc.</w:t>
      </w:r>
    </w:p>
    <w:p>
      <w:pPr>
        <w:spacing w:after="120"/>
      </w:pPr>
      <w:r>
        <w:rPr>
          <w:rFonts w:ascii="Calibri" w:hAnsi="Calibri"/>
          <w:b/>
          <w:color w:val="6E8450"/>
          <w:sz w:val="18"/>
        </w:rPr>
        <w:t>GROWTH SLEEVE · 2026-03-24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NYSE · United States</w:t>
      </w:r>
    </w:p>
    <w:p>
      <w:pPr>
        <w:spacing w:after="80"/>
      </w:pPr>
      <w:r>
        <w:rPr>
          <w:rFonts w:ascii="Calibri" w:hAnsi="Calibri"/>
          <w:b w:val="0"/>
          <w:color w:val="3A4A28"/>
          <w:sz w:val="20"/>
        </w:rPr>
        <w:t>T1 Energy (formerly FREYR Battery) is building an integrated U.S. solar and battery manufacturing supply chain, operating a 5 GW solar module plant (G1_Dallas) and planning an $850M, 5 GW solar cell plant (G2_Austin). The company generated $132.8M in Q2 2025 revenue from G1_Dallas sales and is targeting $375–450M in annual EBITDA run-rate at full G1 and G2 Phase I capacity. CEO Daniel Barcelo leads the company, which completed a transformative transaction in December 2024.</w:t>
      </w:r>
    </w:p>
    <w:p>
      <w:r>
        <w:rPr>
          <w:rFonts w:ascii="Calibri" w:hAnsi="Calibri"/>
          <w:b/>
          <w:color w:val="6E8450"/>
          <w:sz w:val="18"/>
        </w:rPr>
        <w:t>350 Employees · https://t1energy.com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T1 Energy's integrated domestic solar manufacturing strategy — domestic cells from G2_Austin, domestic polysilicon from Hemlock Semiconductor, domestic wafers from Corning, and domestic frames — is a genuine and strategically differentiated U.S. supply chain model [2]. G1_Dallas surpassed 1 GW of cumulative production in 2025, demonstrating manufacturing scale-up execution [1]. The G2_Austin project represents the largest planned capital investment in the U.S. polysilicon solar supply chain [2]. However, the Culper Research short report alleges material financial irregularities and dependency on China-based Trina Solar as an FEOC, which if accurate would undermine the domestic manufacturing narrative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T1 Energy's mission — building American energy independence through domestic solar manufacturing — aligns with a compelling national priority [2]. However, CEO Daniel Barcelo faces serious credibility challenges: active DoJ and SEC subpoenas, an ongoing lawsuit alleging exploitation of an 88-year-old stroke victim, and the RWE contract cancellation dispute all raise significant integrity concerns [2]. A leader under active investigation cannot credibly articulate a Just Cause, regardless of the mission's merits.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T1 Energy generated $132.8M in Q2 2025 revenue from G1_Dallas ramp, representing genuine commercial progress [1]. However, the company reported a net loss of $32.8M ($0.21/share) and maintained 2025 EBITDA guidance of $25–50M — modest for the capital deployed [1]. The $59.7M accrued payable to Trina (83% of gross profit for 9 months) and allegations of financial reporting discrepancies from Culper Research create significant uncertainty about reported financial strength [2]. Regulatory investigations and the RWE contract cancellation create contingent liabilities. Liquidity floor check: ~$5.00 × ~3M volume = &gt;$1M —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T1 Energy's Just Cause — domestic U.S. solar manufacturing for energy independence — is genuinely important. However, the CEO's personal legal controversies, the RWE contract dispute, DoJ/SEC subpoenas, and Culper Research's allegations paint a picture of a company making expedient near-term decisions that compromise long-term trust. This is finite-game behavior masquerading as national security mission.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cause of domestic U.S. solar manufacturing independence from Chinese supply chains is strategically compelling and aligns with national energy security [2]. CEO Barcelo's emphasis on building a fully domestic supply chain (cells, wafers, polysilicon, frames) demonstrates genuine articulation of why the company exists beyond profit.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Active DoJ and SEC subpoenas, CEO personal litigation, and the RWE customer cancellation dispute (allegedly concealed from investors) create a low-trust environment — both internally and with external stakeholders [2]. The RWE contract replacement with Trina Solar (allegedly obscuring China dependency) directly contradicts the 'trusted domestic partner' identity.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T1 Energy competes with First Solar, Canadian Solar, and other U.S. solar manufacturers for 45X tax credit eligibility and domestic supply contracts. The company has engaged with the Section 232 investigation — suggesting awareness of competitive dynamics, though the Trina relationship undermines the domestic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FREYR Battery-to-T1 Energy transformation — from EV battery startup to integrated solar manufacturer — demonstrates willingness to fundamentally change the business model in response to market realities [2]. The G2_Austin pivot to solar cell manufacturing from module assembly represents further value chain integration.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alleged concealment of the RWE contract cancellation, the replacement with a Trina Solar agreement that obscured China dependency, and the ongoing CEO personal litigation suggest leadership prioritized short-term stock price stability over transparency — the antithesis of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T1 Energy's G1_Dallas facility has demonstrated real manufacturing capability — surpassing 1 GW cumulative production in 2025 and ramping toward $375–450M in annual EBITDA at full 5 GW capacity [1]. The 45X domestic content tax credits provide a $0.07–0.12/watt subsidy advantage over Chinese imports, creating structural domestic competitiveness [2]. Analyst ratings average Strong Buy with $7.30 price targets implying 43% upside [3], and the Trump administration's solar manufacturing focus could accelerate procurement preferences. The $1.6B+ in U.S. solar demand commitments secured since the One Big Beautiful Bill passage validates demand.</w:t>
      </w:r>
    </w:p>
    <w:p>
      <w:pPr>
        <w:spacing w:after="120"/>
      </w:pPr>
      <w:r>
        <w:rPr>
          <w:rFonts w:ascii="Calibri" w:hAnsi="Calibri"/>
          <w:b w:val="0"/>
          <w:color w:val="3A4A28"/>
          <w:sz w:val="20"/>
        </w:rPr>
        <w:t>The bear case is dominated by governance risk: active DoJ and SEC subpoenas (disclosed November 2025), CEO personal exploitation lawsuit, Culper Research's allegations of financial reporting irregularities, and RWE's contract cancellation for alleged misrepresentation collectively create an environment where the financial statements cannot be fully trusted [2]. Culper's claim that T1 is ineligible for 45X tax credits due to Trina Solar's FEOC status — if upheld by Treasury guidance — would eliminate the company's primary competitive advantage. The stock is down sharply from its 52-week high and faces continued regulatory scrutiny.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G2_Austin Phase 1 construction start Q4 2025 with production launch Q4 2026 — adds 2.1 GW of domestic cell capacity that eliminates FEOC dependency and solidifies 45X tax credit eligibility [1]</w:t>
      </w:r>
    </w:p>
    <w:p>
      <w:pPr>
        <w:spacing w:before="40" w:after="40"/>
        <w:ind w:left="283"/>
      </w:pPr>
      <w:r>
        <w:rPr>
          <w:rFonts w:ascii="Calibri" w:hAnsi="Calibri"/>
          <w:b/>
          <w:color w:val="4A6B25"/>
          <w:sz w:val="20"/>
        </w:rPr>
        <w:t xml:space="preserve">2. </w:t>
      </w:r>
      <w:r>
        <w:rPr>
          <w:rFonts w:ascii="Calibri" w:hAnsi="Calibri"/>
          <w:b w:val="0"/>
          <w:color w:val="3A4A28"/>
          <w:sz w:val="20"/>
        </w:rPr>
        <w:t>DoJ/SEC subpoena resolution without charges — clearing the CEO and company of the most serious allegations would restore institutional investor confidence and likely catalyze significant multiple expansion</w:t>
      </w:r>
    </w:p>
    <w:p>
      <w:pPr>
        <w:spacing w:before="40" w:after="40"/>
        <w:ind w:left="283"/>
      </w:pPr>
      <w:r>
        <w:rPr>
          <w:rFonts w:ascii="Calibri" w:hAnsi="Calibri"/>
          <w:b/>
          <w:color w:val="4A6B25"/>
          <w:sz w:val="20"/>
        </w:rPr>
        <w:t xml:space="preserve">3. </w:t>
      </w:r>
      <w:r>
        <w:rPr>
          <w:rFonts w:ascii="Calibri" w:hAnsi="Calibri"/>
          <w:b w:val="0"/>
          <w:color w:val="3A4A28"/>
          <w:sz w:val="20"/>
        </w:rPr>
        <w:t>45X tax credit Treasury guidance confirming eligibility — removes the Culper Research central thesis that T1 cannot claim the credits, validating the entire domestic manufacturing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45X tax credit ineligibility ruling: if Treasury confirms Trina Solar's FEOC status makes T1 ineligible, the company loses $100–200M in annual credit value and its competitive cost structure collapses [2]</w:t>
      </w:r>
    </w:p>
    <w:p>
      <w:pPr>
        <w:spacing w:before="40" w:after="40"/>
        <w:ind w:left="283"/>
      </w:pPr>
      <w:r>
        <w:rPr>
          <w:rFonts w:ascii="Calibri" w:hAnsi="Calibri"/>
          <w:b/>
          <w:color w:val="4A6B25"/>
          <w:sz w:val="20"/>
        </w:rPr>
        <w:t xml:space="preserve">2. </w:t>
      </w:r>
      <w:r>
        <w:rPr>
          <w:rFonts w:ascii="Calibri" w:hAnsi="Calibri"/>
          <w:b w:val="0"/>
          <w:color w:val="3A4A28"/>
          <w:sz w:val="20"/>
        </w:rPr>
        <w:t>DoJ/SEC investigation resulting in charges against CEO Barcelo or the company — management disruption and potential financial penalties could trigger covenant defaults on construction financing [2]</w:t>
      </w:r>
    </w:p>
    <w:p>
      <w:pPr>
        <w:spacing w:before="40" w:after="40"/>
        <w:ind w:left="283"/>
      </w:pPr>
      <w:r>
        <w:rPr>
          <w:rFonts w:ascii="Calibri" w:hAnsi="Calibri"/>
          <w:b/>
          <w:color w:val="4A6B25"/>
          <w:sz w:val="20"/>
        </w:rPr>
        <w:t xml:space="preserve">3. </w:t>
      </w:r>
      <w:r>
        <w:rPr>
          <w:rFonts w:ascii="Calibri" w:hAnsi="Calibri"/>
          <w:b w:val="0"/>
          <w:color w:val="3A4A28"/>
          <w:sz w:val="20"/>
        </w:rPr>
        <w:t>RWE litigation: largest independent offtake customer sued for alleged contract misrepresentation — loss could require $100M+ in damages and expose additional commercial contract irregularities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Solar module manufacturing is a capital-intensive physical process not easily disrupted by AI — the demand for domestically manufactured solar panels is driven by 45X tax credits and energy independence policy [2]. AI is a tailwind for demand (hyperscaler data centers increasingly require renewable energy, directly benefiting solar manufacturers). However, T1's dependency on Trina Solar (a Chinese entity) for its supply chain creates geopolitical and regulatory risk that could effectively disrupt business regardless of AI trends.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T1 Energy Q2 2025 and Q3 2025 Financial Results, 2025</w:t>
      </w:r>
    </w:p>
    <w:p>
      <w:pPr>
        <w:spacing w:before="20" w:after="20"/>
        <w:ind w:left="170"/>
      </w:pPr>
      <w:r>
        <w:rPr>
          <w:rFonts w:ascii="Calibri" w:hAnsi="Calibri"/>
          <w:b/>
          <w:color w:val="4A6B25"/>
          <w:sz w:val="15"/>
        </w:rPr>
        <w:t xml:space="preserve">2. </w:t>
      </w:r>
      <w:r>
        <w:rPr>
          <w:rFonts w:ascii="Calibri" w:hAnsi="Calibri"/>
          <w:b w:val="0"/>
          <w:color w:val="3A4A28"/>
          <w:sz w:val="17"/>
        </w:rPr>
        <w:t>Culper Research Short Report on T1 Energy, January 21,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TE Statistics &amp; Valuation,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