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TFC</w:t>
      </w:r>
      <w:r>
        <w:rPr>
          <w:rFonts w:ascii="Calibri" w:hAnsi="Calibri"/>
          <w:b/>
          <w:color w:val="1A2010"/>
          <w:sz w:val="40"/>
        </w:rPr>
        <w:t xml:space="preserve">  Truist Financial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2026-03-27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Truist Financial Corporation is a purpose-driven financial services company formed from the merger of BB&amp;T and SunTrust, offering banking, lending, insurance, and wealth management services primarily in the Southeastern and Mid-Atlantic United States with $544 billion in total assets.</w:t>
      </w:r>
    </w:p>
    <w:p>
      <w:r>
        <w:rPr>
          <w:rFonts w:ascii="Calibri" w:hAnsi="Calibri"/>
          <w:b/>
          <w:color w:val="6E8450"/>
          <w:sz w:val="18"/>
        </w:rPr>
        <w:t>37,086 Employees · https://www.truist.com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The BB&amp;T/SunTrust merger in 2019 was a transformative pivot that created the 7th largest U.S. bank, and subsequent technology integration has modernized the platform [1]. AI Deployment (2/2): Truist hired Pascal Belaud from Microsoft as Chief AI &amp; Data Officer and Lo Li from Capital One to lead consumer tech, with AI powering fraud detection, client personalization, and Truist One View Connect embedded banking [2]. Market Share Leadership (1/2): Truist holds leading market share in high-growth Southeast U.S. markets but faces intense competition from JPMorgan, Bank of America, and fintech disruptors [1]. Product Pipeline (0/2): No specific next-generation product announcements with concrete timelines beyond incremental digital banking improvements [2]. R&amp;D Intensity (1/1): Technology investment is above average for regional banks, with strategic hires signaling elevated digital spending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Truist's purpose — 'to inspire and build better lives and communities' — is specific and well-articulated, connecting financial services to community uplift and client wellbeing [2]. Community Impact (1/2): The bank has a strong CRA track record and community development programs across the Southeast, though specific dollar commitments are not prominently quantified [3]. Employee Retention (1/2): Post-merger integration has been challenging with workforce reductions, and Glassdoor reviews reflect mixed sentiment on cultural alignment between legacy BB&amp;T and SunTrust cultures [2]. Insider Buying (1/2): CEO Rogers and executives hold significant equity but insider buying signals are roughly neutral in recent quarters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Truist's forward P/E of 8.8 is attractive for a regional bank, and profit margin of 28.8% is strong [1]. ROE of 8.2% is below the 15% target but management targets 14% ROTCE in 2026 and 15% in 2027 [1]. Revenue grew 3.2% YoY with 2026 guidance of 4-5% growth, and NIM expanded to 3.07% [1]. Dividend yield of 4.63% with a 54.5% payout ratio is sustainable, with $4B in planned buybacks for 2026 [1]. D/E data is unavailable for banks. Liquidity is strong with $439M daily dollar volume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Truist articulates a purpose-driven vision rooted in community building and financial wellbeing, but post-merger integration challenges and aggressive cost targets reveal finite-game pressures that compete with the company's stated infinite aspirations.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Truist's purpose to 'inspire and build better lives and communities' is authentic and specific, backed by the founding premise of the merger creating a better institution than either predecessor alone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Post-merger cultural integration remains ongoing with mixed Glassdoor sentiment, and workforce reductions to hit efficiency targets have created trust deficits among front-line employees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Truist competes thoughtfully against JPMorgan and fintech disruptors by leveraging its Southeast relationship model and community focus rather than pure scale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sale of Truist Insurance Holdings for $15.5B and reinvestment in technology and buybacks demonstrates willingness to fundamentally reshape the portfolio, though the bank remains conventionally structured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Rogers has been steady but incremental in strategy execution; the 2026 ROTCE targets are achievable but not particularly ambitious relative to best-in-class peers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Truist offers an attractive value proposition at a forward P/E of 8.8x with a 4.6% dividend yield, supported by clear earnings momentum — analysts project 12.9% EPS growth to $4.46 in 2026 and 13% further growth to $5.04 in 2027 [1]. The company's Southeast footprint benefits from above-average population and economic growth, while $4B in planned 2026 buybacks and a path to 14% ROTCE provide multiple catalysts for re-rating toward fair value estimates of ~$46 [1]. The appointment of AI leadership from Microsoft and Capital One signals a serious commitment to digital transformation that could improve efficiency ratios and customer engagement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hinges on Truist's 2026 revenue guidance of 4-5% growth and soft loan growth guidance of 3-4%, which trails Southeast peers with similar demographic tailwinds [1]. ROE of 8.2% remains well below the 15% benchmark, and the negative 5-year dividend growth CAGR reflects the post-merger dividend reset that has eroded income investor confidence [1]. The stock has declined 20% from its 52-week high of $56.20, and Morningstar views shares as slightly overvalued at current levels despite the optically cheap forward P/E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ROTCE improvement toward 14% target in 2026 would validate post-merger efficiency gains and drive P/E multiple expansion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$4 billion share repurchase program in 2026 provides meaningful EPS accretion and capital return support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digital transformation under new Chief AI Officer could accelerate efficiency ratio improvement and competitive positioning against fintech disruptors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Soft loan growth guidance of 3-4% in a high-growth Southeast market raises questions about competitive positioning and underwriting discipline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Post-merger cultural integration remains incomplete after 6+ years, with risk of talent attrition and execution missteps in technology modernization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credit deterioration in commercial real estate or consumer lending could pressure net charge-offs above the guided 55 bps level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Traditional banking services face moderate AI disruption risk from fintech lenders, neobanks, and embedded finance platforms that could erode deposits and lending margins [2]. However, Truist's physical branch network, regulatory moat, and Southeast relationship banking provide defensive barriers. AI Opportunity (1/1): The hiring of a Microsoft AI veteran as Chief AI &amp; Data Officer and deployment of AI for fraud detection, client personalization, and embedded banking solutions shows active revenue-generating AI adoption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Truist Financial Q4 2025 Earnings Release and Conference Call,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Banking Dive — Truist AI Leadership Appointments,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Truist Financial Investor Relations,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TFC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Morningstar — Truist Earnings Analysis, January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