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TGB</w:t>
      </w:r>
      <w:r>
        <w:rPr>
          <w:rFonts w:ascii="Calibri" w:hAnsi="Calibri"/>
          <w:b/>
          <w:color w:val="1A2010"/>
          <w:sz w:val="40"/>
        </w:rPr>
        <w:t xml:space="preserve">  Taseko Mines Limited</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AMEX · Canada</w:t>
      </w:r>
    </w:p>
    <w:p>
      <w:pPr>
        <w:spacing w:after="80"/>
      </w:pPr>
      <w:r>
        <w:rPr>
          <w:rFonts w:ascii="Calibri" w:hAnsi="Calibri"/>
          <w:b w:val="0"/>
          <w:color w:val="3A4A28"/>
          <w:sz w:val="20"/>
        </w:rPr>
        <w:t>Taseko Mines is a copper mining company operating the Gibraltar mine in British Columbia and the newly commissioned Florence Copper in-situ recovery project in Arizona. The company also holds development-stage interests in the Yellowhead copper, New Prosperity gold-copper, and Aley niobium projects in British Columbia.</w:t>
      </w:r>
    </w:p>
    <w:p>
      <w:r>
        <w:rPr>
          <w:rFonts w:ascii="Calibri" w:hAnsi="Calibri"/>
          <w:b/>
          <w:color w:val="6E8450"/>
          <w:sz w:val="18"/>
        </w:rPr>
        <w:t>https://www.tasekomines.com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Taseko successfully developed and commissioned the Florence Copper in-situ recovery facility — the first new US greenfield copper production since 2008 — harvesting first cathodes on March 2, 2026, largely on the $275M budget [1]. This transforms Taseko from a single-asset operator to a multi-mine copper producer. AI Deployment (0/2): No AI products or AI-driven operational improvements disclosed; Taseko uses conventional mining technology and processes [2]. Market Share (1/2): At full capacity, Florence would make Taseko the third-largest US copper cathode producer, a meaningful position in a critical minerals market [1]. Gibraltar produces ~100M lbs/year of copper, making Taseko a mid-tier copper producer. Pipeline (2/2): Clear production visibility with 2026 guidance of 110-115M lbs from Gibraltar and 30-35M lbs from Florence, plus Florence ramp to 85M lbs at full capacity [1]. The Yellowhead and New Prosperity projects provide long-term optionality. R&amp;D Intensity (0/1): Mining companies invest through exploration and development rather than traditional R&amp;D; Taseko's spending is typical for the sector with no above-average technology investment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Taseko positions itself as 'a North America focused, multi-asset copper producer' supplying critical minerals for the energy transition — a commercially-oriented mission without distinctive purpose beyond standard mining industry positioning [2]. Community Impact (1/2): Florence Copper claims the lowest GHG and energy intensity among North American primary copper producers, with water consumption 14x lower, carbon emissions 6x lower, and energy consumption 3x lower than conventional mining [3]. However, the New Prosperity project drew intense Indigenous opposition from the Tsilhqot'in Nation and was rejected twice by the Canadian federal government for environmental damage [3]. Employee Retention (0/2): No employee data available — employee count is not disclosed, and no Glassdoor reviews or retention data were found for a company of this size. Insider Buying (1/2): CEO Stuart McDonald has significant equity exposure and led the company through the Florence Copper development, but no evidence of meaningful net insider buying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Taseko's financial profile reflects a copper producer in growth mode with an attractive forward P/E of 7.6x and strong revenue growth of 45.3% YoY to $673M [1]. D/E of 95.9% ($747M debt) is manageable for a mining company but limits financial flexibility. ROE of -4.7% and profit margin of -4.5% reflect the company's loss-making status despite $230M adjusted EBITDA [1]. Free cash flow is negative at -$290M due to Florence Copper construction spending. Revenue growth 5yr CAGR of approximately 14% reflects consistent production expansion. Cash of $190M supports operations. Liquidity floor cleared at $44.7M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Taseko under CEO McDonald demonstrates mixed infinite game signals. The patient 10+ year development of Florence Copper from permitting through construction to first production shows long-term thinking. However, the New Prosperity controversy — pursuing a mine twice rejected by the federal government over environmental damage to sacred Indigenous lands — reveals a company that has sometimes prioritized resource extraction over stakeholder relationships. The 2025 Tsilhqot'in agreement represents a positive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Taseko's stated purpose is to become a leading North American copper producer supplying critical minerals for the energy transition [2]. While the energy transition narrative gives copper mining genuine purpose, Taseko's specific articulation is commercially-oriented rather than cause-driven. The company's history with New Prosperity — pursuing a mine over strong Indigenous and environmental opposition for over a decade — undermines the cause credibility [3]. The 2025 consent-based agreement with the Tsilhqot'in Nation shows evolution.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McDonald has led since 2021 after serving as CFO since 2013, providing leadership continuity [2]. The successful Florence Copper construction (on-budget at $275M) and first cathode harvest demonstrate team execution capability. No employee count is publicly disclosed, and no Glassdoor data exists, making trust assessment difficult. The company expanded its senior operating team to support growth, suggesting capacity building.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Taseko positions Florence Copper's environmental credentials (lowest GHG intensity, lowest water use) as competitive differentiation versus conventional copper miners [3]. The strategic partnership with Mitsui shows willingness to collaborate. However, competitive language focuses on Taseko's advantages rather than learning from larger rivals like Freeport-McMoRan or BHP.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Taseko's development of Florence Copper's in-situ recovery technology represents a meaningful strategic evolution from conventional open-pit mining at Gibraltar [1][3]. The technology produces copper with dramatically lower environmental impact and transforms the company from a single-asset Canadian miner to a diversified North American producer. The 2025 Tsilhqot'in agreement on New Prosperity shows willingness to adapt approaches.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Taseko invested $275M and over a decade of permitting effort to bring Florence Copper from concept to first production — the first new US greenfield copper mine since 2008 [1]. This represents genuine long-term conviction. CEO McDonald navigated multiple permitting challenges, community opposition, and EPA review processes to reach commercial production. However, the company also showed finite-game characteristics by pursuing New Prosperity despite two federal rejections [3].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Taseko is a compelling copper growth story trading at just 7.6x forward P/E with two producing assets and transformative production growth ahead. Florence Copper — the first new US greenfield copper mine since 2008 — harvested first cathodes on March 2, 2026, targeting 30-35M lbs in 2026 ramping to 85M lbs at full capacity, which would make Taseko the third-largest US copper cathode producer [1]. Combined with Gibraltar's 110-115M lbs 2026 guidance (up from 98M lbs in 2025), total production could reach 140-150M lbs in 2026 and 195M+ lbs at full ramp [1]. Adjusted EBITDA of $230M in 2025 was achieved at lower copper prices; with prices ~25% higher in 2026, cash flows should expand significantly. The secular copper demand thesis — driven by AI data centers, electrification, and defense spending requiring a doubling of global copper supply — provides a powerful multi-year tailwind [2].</w:t>
      </w:r>
    </w:p>
    <w:p>
      <w:pPr>
        <w:spacing w:after="120"/>
      </w:pPr>
      <w:r>
        <w:rPr>
          <w:rFonts w:ascii="Calibri" w:hAnsi="Calibri"/>
          <w:b w:val="0"/>
          <w:color w:val="3A4A28"/>
          <w:sz w:val="20"/>
        </w:rPr>
        <w:t>The bear case centers on execution risk and financial fragility during the Florence ramp-up. Despite $230M adjusted EBITDA, Taseko reported a net loss of $30M and negative free cash flow of -$290M in 2025, reflecting heavy construction spending [1]. D/E of 95.9% ($747M debt including the recent $400M bond refinancing) creates leverage risk if copper prices decline. Florence Copper's in-situ recovery technology at commercial scale is unproven — the company is targeting 30-35M lbs in 2026 but any wellfield performance issues could delay the ramp and extend cash burn [1]. The stock fell 6% on the Q4 earnings release despite strong results, suggesting the market is skeptical of near-term execution. Gibraltar's 2025 production of 98M lbs was below the prior year's 105M lbs, raising questions about mine-life sustainability. Environmental and community risks persist at Florence (aquifer contamination concerns) and New Prosperity (Indigenous consent requirements)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Florence Copper production ramp through 2026 toward 85M lbs annual capacity — successful scale-up would transform Taseko's production and cash flow profile and validate the in-situ recovery technology [1]</w:t>
      </w:r>
    </w:p>
    <w:p>
      <w:pPr>
        <w:spacing w:before="40" w:after="40"/>
        <w:ind w:left="283"/>
      </w:pPr>
      <w:r>
        <w:rPr>
          <w:rFonts w:ascii="Calibri" w:hAnsi="Calibri"/>
          <w:b/>
          <w:color w:val="4A6B25"/>
          <w:sz w:val="20"/>
        </w:rPr>
        <w:t xml:space="preserve">2. </w:t>
      </w:r>
      <w:r>
        <w:rPr>
          <w:rFonts w:ascii="Calibri" w:hAnsi="Calibri"/>
          <w:b w:val="0"/>
          <w:color w:val="3A4A28"/>
          <w:sz w:val="20"/>
        </w:rPr>
        <w:t>Copper price strength driven by AI data center construction, electrification demand, and supply constraints — S&amp;P Global projects a structural supply gap requiring global copper output to double [2]</w:t>
      </w:r>
    </w:p>
    <w:p>
      <w:pPr>
        <w:spacing w:before="40" w:after="40"/>
        <w:ind w:left="283"/>
      </w:pPr>
      <w:r>
        <w:rPr>
          <w:rFonts w:ascii="Calibri" w:hAnsi="Calibri"/>
          <w:b/>
          <w:color w:val="4A6B25"/>
          <w:sz w:val="20"/>
        </w:rPr>
        <w:t xml:space="preserve">3. </w:t>
      </w:r>
      <w:r>
        <w:rPr>
          <w:rFonts w:ascii="Calibri" w:hAnsi="Calibri"/>
          <w:b w:val="0"/>
          <w:color w:val="3A4A28"/>
          <w:sz w:val="20"/>
        </w:rPr>
        <w:t>Gibraltar production improvement to 110-115M lbs in 2026 (up from 98M in 2025), combined with higher copper prices, should drive significant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Florence Copper ramp-up execution risk — in-situ recovery at commercial scale is unproven, and wellfield performance issues could delay the production timeline and extend negative free cash flow [1]</w:t>
      </w:r>
    </w:p>
    <w:p>
      <w:pPr>
        <w:spacing w:before="40" w:after="40"/>
        <w:ind w:left="283"/>
      </w:pPr>
      <w:r>
        <w:rPr>
          <w:rFonts w:ascii="Calibri" w:hAnsi="Calibri"/>
          <w:b/>
          <w:color w:val="4A6B25"/>
          <w:sz w:val="20"/>
        </w:rPr>
        <w:t xml:space="preserve">2. </w:t>
      </w:r>
      <w:r>
        <w:rPr>
          <w:rFonts w:ascii="Calibri" w:hAnsi="Calibri"/>
          <w:b w:val="0"/>
          <w:color w:val="3A4A28"/>
          <w:sz w:val="20"/>
        </w:rPr>
        <w:t>Copper price sensitivity — a sustained decline in copper prices below $3.50/lb would compress margins at both operations and make the debt load ($747M) increasingly burdensome [1]</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liability at Florence (aquifer contamination concerns from residents and the town council) and New Prosperity (consent-based development with the Tsilhqot'in Nation creates uncertainty on future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is a fundamentally physical-world business — extracting ore from the earth, processing it into cathodes, and delivering metal to customers requires massive capital infrastructure, geological expertise, and regulatory permits that AI cannot replicate or substitute [1]. Taseko's Gibraltar and Florence operations involve physical extraction processes immune to digital disruption. Moreover, AI is a significant demand driver for copper — S&amp;P Global forecasts a looming copper supply gap as AI data centers, electrification, and defense spending accelerate demand for the metal [2]. Copper is literally the 'metal of electrification' that AI infrastructure requires. AI Opportunity (1/1): While Taseko does not sell AI products, copper is a critical input for AI data center construction, and the company directly benefits from AI-driven demand growth. Global copper supply needs to double to meet energy transition and AI infrastructure goals, directly supporting Taseko's production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Taseko Mines Q4/FY2025 Earnings Release — $673M revenue, $230M adjusted EBITDA, Florence Copper first cathode March 2, 2026, February 2026</w:t>
      </w:r>
    </w:p>
    <w:p>
      <w:pPr>
        <w:spacing w:before="20" w:after="20"/>
        <w:ind w:left="170"/>
      </w:pPr>
      <w:r>
        <w:rPr>
          <w:rFonts w:ascii="Calibri" w:hAnsi="Calibri"/>
          <w:b/>
          <w:color w:val="4A6B25"/>
          <w:sz w:val="15"/>
        </w:rPr>
        <w:t xml:space="preserve">2. </w:t>
      </w:r>
      <w:r>
        <w:rPr>
          <w:rFonts w:ascii="Calibri" w:hAnsi="Calibri"/>
          <w:b w:val="0"/>
          <w:color w:val="3A4A28"/>
          <w:sz w:val="17"/>
        </w:rPr>
        <w:t>Taseko Mines website — CEO Stuart McDonald, management team, copper demand thesis, corporate overview,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CBC News, West Coast Environmental Law, EPA, Mining Weekly — New Prosperity environmental rejection history, Florence Copper permitting and community opposition, Tsilhqot'in agreement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TGB key statistics and financial data,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TGB 2026 copper guidance and earnings analysis,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