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TGTX</w:t>
      </w:r>
      <w:r>
        <w:rPr>
          <w:rFonts w:ascii="Calibri" w:hAnsi="Calibri"/>
          <w:b/>
          <w:color w:val="1A2010"/>
          <w:sz w:val="40"/>
        </w:rPr>
        <w:t xml:space="preserve">  TG Therapeutics, Inc.</w:t>
      </w:r>
    </w:p>
    <w:p>
      <w:pPr>
        <w:spacing w:after="120"/>
      </w:pPr>
      <w:r>
        <w:rPr>
          <w:rFonts w:ascii="Calibri" w:hAnsi="Calibri"/>
          <w:b/>
          <w:color w:val="6E8450"/>
          <w:sz w:val="18"/>
        </w:rPr>
        <w:t>GROWTH SLEEVE · 2026-04-17 · Inspire: 40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TG Therapeutics is a commercial-stage biopharmaceutical company focused on B-cell mediated diseases. Its lead product BRIUMVI (ublituximab-xiiy) is an anti-CD20 monoclonal antibody approved for relapsing forms of multiple sclerosis (RMS). The company's pipeline includes subcutaneous BRIUMVI and TG-1701 (BTK inhibitor).</w:t>
      </w:r>
    </w:p>
    <w:p>
      <w:r>
        <w:rPr>
          <w:rFonts w:ascii="Calibri" w:hAnsi="Calibri"/>
          <w:b/>
          <w:color w:val="6E8450"/>
          <w:sz w:val="18"/>
        </w:rPr>
        <w:t>399 Employees · https://www.tgtherapeutics.com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TG Therapeutics successfully transitioned from clinical-stage to commercial-stage with BRIUMVI's FDA approval and achieved $616.3M in 2025 revenue, up 92% YoY from $329M, representing one of the most successful MS drug launches in history [1]. The company raised 2026 guidance to $875-$900M total revenue [1]. AI Deployment (0/2): No evidence of AI-powered drug development or quantified AI-driven operational efficiencies. Market Share (2/2): BRIUMVI has rapidly gained market share in the competitive anti-CD20 MS therapy space, competing effectively against Ocrevus (Roche) by differentiating on shorter infusion times and glycoengineered antibody technology [1]. Pipeline (2/2): Subcutaneous BRIUMVI pivotal topline data expected year-end 2026/Q1 2027, plus registration-directed trials for BRIUMVI in indications beyond MS, and TG-1701 (BTK inhibitor) in development [1]. R&amp;D Intensity (1/1): R&amp;D investment is significant relative to the company's size, with an active clinical pipeline across multiple programs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TG Therapeutics' mission focuses on developing novel treatments for B-cell diseases to improve patient outcomes — clear and specific to their therapeutic area but not distinctive beyond standard biopharma purpose statements. Community Impact (1/2): The company's BRIUMVI provides a meaningful treatment option for MS patients, contributing to patient welfare, though no significant philanthropic programs or community investment were identified [1]. Employee Retention (0/2): Glassdoor reviews reveal significant cultural concerns — employees describe 'toxic culture,' 'clueless leadership,' and the executive team received a 'D' rating on Comparably, ranking in the bottom 20% of similar-size companies [2]. Insider Buying (1/2): CEO Michael Weiss has led the company since 2011 with significant equity exposure, but no evidence of meaningful recent net insider purchases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TG Therapeutics shows outstanding financial metrics for a recently-commercialized biotech. D/E of 39.3% is conservative, ROE of 102.8% is exceptional (reflecting high profitability on a small equity base), and profit margin of 72.6% is among the highest in pharma [4]. Revenue growth of 78% YoY and 505% 3-year CAGR demonstrate explosive commercial adoption of BRIUMVI. Forward P/E of 13.9x is remarkably cheap for a high-growth biotech, with PEG of 1.61 reflecting reasonable growth-adjusted valuation. The company entered into a $750M senior secured credit facility with Blue Owl Capital, providing financial flexibility [3]. Gross margin of 83.7% demonstrates strong pricing power. Liquidity floor easily cleared: 1.82M avg volume x $34.30 = $62.5M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TG Therapeutics shows mixed infinite game characteristics. The company successfully navigated the challenging transition from clinical to commercial stage under long-tenured CEO Michael Weiss (since 2011), demonstrating persistence. However, cultural concerns from employees, heavy concentration on a single product (BRIUMVI), and executive leadership quality issues suggest near-term execution focus rather than enduring organizational design.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TG Therapeutics' purpose of developing novel treatments for B-cell diseases is meaningful but standard for a biopharmaceutical company. The cause is not distinctive — many biotech firms articulate similar patient-focused missions. The company has executed well on commercializing BRIUMVI, but the cause has not been tested through multiple cycles or leadership transitions. Score: 1/3 points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Employee sentiment is notably poor. Glassdoor reviews describe 'toxic culture,' 'clueless leadership,' and 'worst professional experience of my life.' Comparably rates the executive team a 'D' in the bottom 20% of similar-size companies. Multiple reviews cite one senior leader who 'treats the team very poorly' with 'protection at all levels' [2]. This is a low-trust environment. Score: 0/2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TG Therapeutics acknowledges Roche's Ocrevus as the market leader in anti-CD20 MS therapy and has used that rivalry to differentiate BRIUMVI on infusion time, glycoengineering, and patient convenience. Management references competitive dynamics constructively rather than combatively. Score: 1/1 point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has shown flexibility by pivoting from a broad clinical pipeline to commercial focus on BRIUMVI, and is now expanding into subcutaneous formulation and non-MS indications. However, this is incremental line extension rather than transformative business model change. The company remains heavily dependent on a single product franchise. Score: 1/2 points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Weiss showed courage by persisting through years of clinical development and stock volatility to successfully commercialize BRIUMVI, maintaining conviction when many small biotechs abandon their programs. The decision to invest in subcutaneous formulation and new indications while BRIUMVI is still ramping shows willingness to invest for the future. Score: 1/2 points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TG Therapeutics is executing one of the most successful biotech commercial launches in recent history, with BRIUMVI generating $616.3M in 2025 revenue (92% YoY growth) and 2026 guidance raised to $875-$900M [1]. The financial profile is exceptional: 72.6% profit margin, 102.8% ROE, and forward P/E of just 13.9x — representing an unusual combination of hyper-growth and value-level multiples. The subcutaneous BRIUMVI pivotal data (expected year-end 2026/Q1 2027) could significantly expand the addressable market by improving patient convenience, and planned expansion into indications beyond MS opens multi-billion-dollar opportunities [1]. With $141.9M cash and a $750M credit facility, the company is well-capitalized for its growth trajectory [3][4].</w:t>
      </w:r>
    </w:p>
    <w:p>
      <w:pPr>
        <w:spacing w:after="120"/>
      </w:pPr>
      <w:r>
        <w:rPr>
          <w:rFonts w:ascii="Calibri" w:hAnsi="Calibri"/>
          <w:b w:val="0"/>
          <w:color w:val="3A4A28"/>
          <w:sz w:val="20"/>
        </w:rPr>
        <w:t>The bear case centers on single-product concentration and organizational quality. BRIUMVI accounts for essentially 100% of revenue, creating binary risk if safety signals emerge, generic competition materializes, or market share shifts to next-generation MS therapies [1]. The company's Sustainalytics ESG Risk Rating flagged the highest controversy level in the last three years, and Glassdoor/Comparably data reveals a 'D'-rated executive team with toxic culture complaints — organizational dysfunction could impair commercial execution as the company scales from 399 employees [2][3]. Operating cash flow was negative $24.8M despite $616.3M in revenue, suggesting working capital challenges or revenue timing issues [4]. The $254.4M in debt and $750M credit facility add leverage risk if BRIUMVI growth stalls. Competition from Roche's Ocrevus subcutaneous formulation could blunt BRIUMVI's differentiation advantage.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Subcutaneous BRIUMVI pivotal topline data expected year-end 2026/Q1 2027, which could significantly expand adoption by eliminating IV infusion requirements [1]</w:t>
      </w:r>
    </w:p>
    <w:p>
      <w:pPr>
        <w:spacing w:before="40" w:after="40"/>
        <w:ind w:left="283"/>
      </w:pPr>
      <w:r>
        <w:rPr>
          <w:rFonts w:ascii="Calibri" w:hAnsi="Calibri"/>
          <w:b/>
          <w:color w:val="4A6B25"/>
          <w:sz w:val="20"/>
        </w:rPr>
        <w:t xml:space="preserve">2. </w:t>
      </w:r>
      <w:r>
        <w:rPr>
          <w:rFonts w:ascii="Calibri" w:hAnsi="Calibri"/>
          <w:b w:val="0"/>
          <w:color w:val="3A4A28"/>
          <w:sz w:val="20"/>
        </w:rPr>
        <w:t>2026 revenue guidance of $875-$900M representing ~45% YoY growth on continued BRIUMVI commercial momentum in the US and ex-US markets [1]</w:t>
      </w:r>
    </w:p>
    <w:p>
      <w:pPr>
        <w:spacing w:before="40" w:after="40"/>
        <w:ind w:left="283"/>
      </w:pPr>
      <w:r>
        <w:rPr>
          <w:rFonts w:ascii="Calibri" w:hAnsi="Calibri"/>
          <w:b/>
          <w:color w:val="4A6B25"/>
          <w:sz w:val="20"/>
        </w:rPr>
        <w:t xml:space="preserve">3. </w:t>
      </w:r>
      <w:r>
        <w:rPr>
          <w:rFonts w:ascii="Calibri" w:hAnsi="Calibri"/>
          <w:b w:val="0"/>
          <w:color w:val="3A4A28"/>
          <w:sz w:val="20"/>
        </w:rPr>
        <w:t>Registration-directed trials for BRIUMVI in indications beyond MS, potentially opening multi-billion-dollar B-cell disease markets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Single-product concentration — BRIUMVI generates ~100% of revenue, creating binary risk from safety signals, competitive displacement, or market share loss to next-generation MS therapies [1]</w:t>
      </w:r>
    </w:p>
    <w:p>
      <w:pPr>
        <w:spacing w:before="40" w:after="40"/>
        <w:ind w:left="283"/>
      </w:pPr>
      <w:r>
        <w:rPr>
          <w:rFonts w:ascii="Calibri" w:hAnsi="Calibri"/>
          <w:b/>
          <w:color w:val="4A6B25"/>
          <w:sz w:val="20"/>
        </w:rPr>
        <w:t xml:space="preserve">2. </w:t>
      </w:r>
      <w:r>
        <w:rPr>
          <w:rFonts w:ascii="Calibri" w:hAnsi="Calibri"/>
          <w:b w:val="0"/>
          <w:color w:val="3A4A28"/>
          <w:sz w:val="20"/>
        </w:rPr>
        <w:t>Organizational culture concerns — Glassdoor/Comparably data reveals 'D'-rated executive team, toxic culture complaints, and high employee dissatisfaction that could impair execution as the company scales [2]</w:t>
      </w:r>
    </w:p>
    <w:p>
      <w:pPr>
        <w:spacing w:before="40" w:after="40"/>
        <w:ind w:left="283"/>
      </w:pPr>
      <w:r>
        <w:rPr>
          <w:rFonts w:ascii="Calibri" w:hAnsi="Calibri"/>
          <w:b/>
          <w:color w:val="4A6B25"/>
          <w:sz w:val="20"/>
        </w:rPr>
        <w:t xml:space="preserve">3. </w:t>
      </w:r>
      <w:r>
        <w:rPr>
          <w:rFonts w:ascii="Calibri" w:hAnsi="Calibri"/>
          <w:b w:val="0"/>
          <w:color w:val="3A4A28"/>
          <w:sz w:val="20"/>
        </w:rPr>
        <w:t>Negative operating cash flow of $24.8M despite $616.3M revenue, with $254.4M debt and $750M credit facility adding leverage risk if growth decelerates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TG Therapeutics' core business — commercializing an FDA-approved biologic therapy for MS — faces limited direct AI disruption risk. BRIUMVI is a physical antibody infusion product protected by patents, regulatory exclusivity, and clinical data that AI cannot replicate. The MS treatment decision is physician-directed and clinically complex. However, AI drug discovery platforms could accelerate competitors' development of next-generation MS therapies, and AI-driven diagnostics could shift treatment paradigms for autoimmune diseases over the longer term [1]. AI Opportunity (1/1): While TGTX does not generate AI revenue directly, AI tools could enhance clinical trial design and patient identification for the subcutaneous BRIUMVI program and expansion into indications beyond MS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TG Therapeutics Q4/FY2025 Earnings Release — $616.3M revenue, 92% YoY growth, 2026 guidance $875-$900M, February 2026</w:t>
      </w:r>
    </w:p>
    <w:p>
      <w:pPr>
        <w:spacing w:before="20" w:after="20"/>
        <w:ind w:left="170"/>
      </w:pPr>
      <w:r>
        <w:rPr>
          <w:rFonts w:ascii="Calibri" w:hAnsi="Calibri"/>
          <w:b/>
          <w:color w:val="4A6B25"/>
          <w:sz w:val="15"/>
        </w:rPr>
        <w:t xml:space="preserve">2. </w:t>
      </w:r>
      <w:r>
        <w:rPr>
          <w:rFonts w:ascii="Calibri" w:hAnsi="Calibri"/>
          <w:b w:val="0"/>
          <w:color w:val="3A4A28"/>
          <w:sz w:val="17"/>
        </w:rPr>
        <w:t>Glassdoor and Comparably employee reviews for TG Therapeutics — 'D' executive team rating, culture concerns,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Sustainalytics ESG Risk Rating — highest controversy level; $750M Blue Owl Capital credit facility,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TGTX, retrieved April 17,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