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TKO</w:t>
      </w:r>
      <w:r>
        <w:rPr>
          <w:rFonts w:ascii="Calibri" w:hAnsi="Calibri"/>
          <w:b/>
          <w:color w:val="1A2010"/>
          <w:sz w:val="40"/>
        </w:rPr>
        <w:t xml:space="preserve">  TKO Group Holdings, Inc.</w:t>
      </w:r>
    </w:p>
    <w:p>
      <w:pPr>
        <w:spacing w:after="120"/>
      </w:pPr>
      <w:r>
        <w:rPr>
          <w:rFonts w:ascii="Calibri" w:hAnsi="Calibri"/>
          <w:b/>
          <w:color w:val="6E8450"/>
          <w:sz w:val="18"/>
        </w:rPr>
        <w:t>GROWTH SLEEVE · 2026-05-05 · Inspire: 19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TKO Group Holdings operates as a sports and entertainment company through three segments: UFC, WWE, and IMG. The company distributes programming content, operates global live events, secures partnerships, and manages consumer products and licensing. Formed in 2023 through the merger of UFC and WWE under Endeavor Group Holdings.</w:t>
      </w:r>
    </w:p>
    <w:p>
      <w:r>
        <w:rPr>
          <w:rFonts w:ascii="Calibri" w:hAnsi="Calibri"/>
          <w:b/>
          <w:color w:val="6E8450"/>
          <w:sz w:val="18"/>
        </w:rPr>
        <w:t>4,000 Employees · https://tkogrp.com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TKO executed the transformational UFC-WWE merger in September 2023, creating a $22B+ sports entertainment platform, then acquired IMG, On Location, and PBR in February 2025 to diversify beyond combat sports [1]. Revenue grew from $3.9B to $4.735B (21% implied by 2026 guidance midpoint of $5.725B) [1]. AI Deployment (1/2): TKO is exploring AI for content personalization, fan engagement analytics, and production efficiency but has not yet reported specific AI-driven revenue or quantified cost savings [2]. Market Share (2/2): UFC dominates global MMA with no meaningful competitor; WWE is the undisputed leader in professional wrestling entertainment. Combined, TKO controls the two highest-value combat sports properties globally [1]. Pipeline (1/2): UFC's $7.7B Paramount deal and WWE's $1.6B ESPN deal provide multi-year revenue visibility, but specific next-gen product launches beyond media deals are limited [1]. R&amp;D Intensity (0/1): As a sports entertainment company, TKO invests in content production rather than traditional R&amp;D; spending is below tech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TKO's implicit mission is delivering world-class live sports entertainment experiences to global audiences, but the company lacks a formally articulated transformative purpose statement — it operates as a media rights and events business [2]. Community Impact (1/2): TKO's WWE segment has a history of community engagement through Make-A-Wish partnerships and military tributes, though these are more marketing-aligned than foundational giving programs [3]. Employee Retention (1/2): Dana White (UFC CEO) and Nick Khan (WWE CEO) have stayed post-merger, demonstrating leadership continuity, though the combined entity is only 2.5 years old making long-term retention data limited [2]. Insider Buying (1/2): Ari Emanuel and Endeavor maintain significant equity exposure through the controlling stake, aligning incentives, though this is structural rather than open-market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TKO's financial profile shows growing revenues but thin margins and elevated valuation. D/E of 43.9% is excellent (score 1.0). Revenue growth of 11.9% YoY exceeds the 10% target (score 1.0) [1]. Forward P/E of 46.8x is elevated (score 0.33). Profit margin of 4.1% is well below the 20% target (score 0.21), dragged by acquisition integration costs [1]. ROE of 5.6% is below the 15% target (score 0.38). PEG of 1.54 reflects moderate growth-adjusted valuation (score 0.73). Liquidity floor easily cleared: 1.25M avg vol × $186 = $232M daily [4]. Mechanical calculation: weighted sum 4.75 / max 8 × 10 =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TKO under Ari Emanuel plays a mixed game — the UFC-WWE merger and media rights deals demonstrate long-term platform-building, but the company's aggressive acquisition strategy (IMG, On Location, PBR) and focus on EBITDA growth suggest a finite player optimizing for near-term value creation rather than an enduring cause beyond profit.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TKO lacks a transcendent just cause beyond being the dominant sports entertainment platform (1 point). The company exists to monetize exclusive combat sports content through media rights, live events, and licensing. While entertaining millions globally is valuable, the purpose is indistinguishable from any media conglomerate's mission to maximize content value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point). The retention of Dana White and Nick Khan post-merger demonstrates organizational stability, and the integration of UFC and WWE cultures under a single corporate umbrella has proceeded without major disruption [2]. However, Vince McMahon's January 2024 resignation amid sex trafficking allegations revealed governance weaknesses, and the Endeavor-controlled board structure limits independent oversight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point). TKO acknowledges streaming platforms, traditional sports leagues (NFL, NBA), and emerging combat sports as worthy rivals whose content innovations push TKO to improve. The company's multi-platform distribution strategy (ESPN, Paramount, Netflix) shows willingness to learn from how rivals distribute content rather than pursuing exclusive walled-garden approaches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point). The UFC-WWE merger itself was a significant strategic evolution, combining two distinct combat sports brands under one platform. The acquisition of IMG and On Location extends TKO beyond combat sports into premium experiences and events management [1]. However, these are adjacent-market extensions rather than fundamental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point). The decision to merge UFC and WWE — risking the identity of both beloved brands — required leadership conviction. The $7.7B UFC media deal with Paramount over incumbent ESPN demonstrated willingness to disrupt existing relationships for long-term value [1]. However, TKO has not yet faced a true crisis test of its long-term conviction versus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TKO Group Holdings owns the two most valuable combat sports properties in the world — UFC and WWE — with transformational media rights deals providing $9.3B+ in contracted revenue (UFC $7.7B with Paramount, WWE $1.6B with ESPN) [1]. Full-year 2025 revenue of $4.735B with Adjusted EBITDA of $1.585B (47% YoY growth) demonstrates the leverage in the platform model, and 2026 guidance of $5.675-5.775B revenue with $2.24-2.29B EBITDA implies continued margin expansion to ~39.6% [1]. The acquisition of IMG, On Location, and PBR diversifies revenue streams beyond combat sports. Live sports content commands increasing premiums as the only reliably appointment-viewing content in a fragmented media landscape.</w:t>
      </w:r>
    </w:p>
    <w:p>
      <w:pPr>
        <w:spacing w:after="120"/>
      </w:pPr>
      <w:r>
        <w:rPr>
          <w:rFonts w:ascii="Calibri" w:hAnsi="Calibri"/>
          <w:b w:val="0"/>
          <w:color w:val="3A4A28"/>
          <w:sz w:val="20"/>
        </w:rPr>
        <w:t>The bear case centers on elevated valuation and execution risk. At 46.8x forward P/E and 81.9x trailing P/E, TKO is priced for perfection — any miss on integration synergies or EBITDA growth could trigger significant multiple compression [4]. Profit margin of only 4.1% reveals how acquisition-heavy the growth strategy has been, with integration costs from IMG/On Location/PBR weighing on bottom-line profitability. The Vince McMahon scandal and SEC fine ($400K penalty, $1.33M reimbursement) exposed governance vulnerabilities under Endeavor's control structure [3]. Fighter pay controversies and potential antitrust scrutiny of UFC's dominance represent ongoing operational risks. The company's dependence on Ari Emanuel's deal-making abilities creates key-man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EBITDA guidance of $2.24-2.29B represents 43% growth, with margin expansion to ~39.6% demonstrating platform leverage as media deals ramp [1]</w:t>
      </w:r>
    </w:p>
    <w:p>
      <w:pPr>
        <w:spacing w:before="40" w:after="40"/>
        <w:ind w:left="283"/>
      </w:pPr>
      <w:r>
        <w:rPr>
          <w:rFonts w:ascii="Calibri" w:hAnsi="Calibri"/>
          <w:b/>
          <w:color w:val="4A6B25"/>
          <w:sz w:val="20"/>
        </w:rPr>
        <w:t xml:space="preserve">2. </w:t>
      </w:r>
      <w:r>
        <w:rPr>
          <w:rFonts w:ascii="Calibri" w:hAnsi="Calibri"/>
          <w:b w:val="0"/>
          <w:color w:val="3A4A28"/>
          <w:sz w:val="20"/>
        </w:rPr>
        <w:t>UFC Paramount deal ($7.7B) and WWE ESPN deal ($1.6B) provide multi-year contracted revenue visibility with built-in escalators [1]</w:t>
      </w:r>
    </w:p>
    <w:p>
      <w:pPr>
        <w:spacing w:before="40" w:after="40"/>
        <w:ind w:left="283"/>
      </w:pPr>
      <w:r>
        <w:rPr>
          <w:rFonts w:ascii="Calibri" w:hAnsi="Calibri"/>
          <w:b/>
          <w:color w:val="4A6B25"/>
          <w:sz w:val="20"/>
        </w:rPr>
        <w:t xml:space="preserve">3. </w:t>
      </w:r>
      <w:r>
        <w:rPr>
          <w:rFonts w:ascii="Calibri" w:hAnsi="Calibri"/>
          <w:b w:val="0"/>
          <w:color w:val="3A4A28"/>
          <w:sz w:val="20"/>
        </w:rPr>
        <w:t>IMG and On Location integration synergies expected to drive incremental revenue through premium experiences and expanded events management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valuation at 46.8x forward P/E leaves no margin of safety — any miss on EBITDA targets or integration timeline could trigger 20-30%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Governance risk from Endeavor-controlled board structure, highlighted by McMahon scandal and SEC enforcement action ($400K fine for disclosure failures) [3]</w:t>
      </w:r>
    </w:p>
    <w:p>
      <w:pPr>
        <w:spacing w:before="40" w:after="40"/>
        <w:ind w:left="283"/>
      </w:pPr>
      <w:r>
        <w:rPr>
          <w:rFonts w:ascii="Calibri" w:hAnsi="Calibri"/>
          <w:b/>
          <w:color w:val="4A6B25"/>
          <w:sz w:val="20"/>
        </w:rPr>
        <w:t xml:space="preserve">3. </w:t>
      </w:r>
      <w:r>
        <w:rPr>
          <w:rFonts w:ascii="Calibri" w:hAnsi="Calibri"/>
          <w:b w:val="0"/>
          <w:color w:val="3A4A28"/>
          <w:sz w:val="20"/>
        </w:rPr>
        <w:t>Fighter/talent compensation pressure and potential antitrust scrutiny of UFC's monopsony position in MMA could compress margins or force structural changes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TKO's core assets — live UFC fights, WWE events, and physical entertainment experiences — are structurally immune to AI displacement. AI cannot replace the visceral experience of live combat sports or the narrative storytelling of professional wrestling [2]. The company's value lies in exclusive live content rights that command premium pricing precisely because they cannot be replicated or time-shifted. Media rights deals ($7.7B UFC with Paramount, $1.6B WWE with ESPN) demonstrate that platforms pay premiums for must-watch live content in an era of AI-generated media [1]. AI Opportunity (1/1): TKO generates AI-adjacent revenue through data analytics partnerships, fan engagement platforms, and AI-enhanced production tools for content creation and distribution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TKO Group Holdings Q4 and Full Year 2025 Earnings Release — $4.735B revenue, $1.585B EBITDA,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TKO Group Holdings Investor Relations, Acast podcast with Ari Emanuel — leadership and strategy, 2025-2026</w:t>
      </w:r>
    </w:p>
    <w:p>
      <w:pPr>
        <w:spacing w:before="20" w:after="20"/>
        <w:ind w:left="170"/>
      </w:pPr>
      <w:r>
        <w:rPr>
          <w:rFonts w:ascii="Calibri" w:hAnsi="Calibri"/>
          <w:b/>
          <w:color w:val="4A6B25"/>
          <w:sz w:val="15"/>
        </w:rPr>
        <w:t xml:space="preserve">3. </w:t>
      </w:r>
      <w:r>
        <w:rPr>
          <w:rFonts w:ascii="Calibri" w:hAnsi="Calibri"/>
          <w:b w:val="0"/>
          <w:color w:val="3A4A28"/>
          <w:sz w:val="17"/>
        </w:rPr>
        <w:t>SEC enforcement action against Vince McMahon ($400K fine), shareholder fiduciary duty investigations, and ESG governance improvements,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TKO key statistics, market data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