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TLIH</w:t>
      </w:r>
      <w:r>
        <w:rPr>
          <w:rFonts w:ascii="Calibri" w:hAnsi="Calibri"/>
          <w:b/>
          <w:color w:val="1A2010"/>
          <w:sz w:val="40"/>
        </w:rPr>
        <w:t xml:space="preserve">  Ten-League International Holdings Limited</w:t>
      </w:r>
    </w:p>
    <w:p>
      <w:pPr>
        <w:spacing w:after="120"/>
      </w:pPr>
      <w:r>
        <w:rPr>
          <w:rFonts w:ascii="Calibri" w:hAnsi="Calibri"/>
          <w:b/>
          <w:color w:val="6E8450"/>
          <w:sz w:val="18"/>
        </w:rPr>
        <w:t>GROWTH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NASDAQ · Singapore</w:t>
      </w:r>
    </w:p>
    <w:p>
      <w:pPr>
        <w:spacing w:after="80"/>
      </w:pPr>
      <w:r>
        <w:rPr>
          <w:rFonts w:ascii="Calibri" w:hAnsi="Calibri"/>
          <w:b w:val="0"/>
          <w:color w:val="3A4A28"/>
          <w:sz w:val="20"/>
        </w:rPr>
        <w:t>Ten-League International Holdings is a Singapore-based provider of turnkey project solutions, selling and renting new and used heavy equipment and parts for the port, construction, civil engineering, and underground foundation industries. The company also offers engineering consultancy services including equipment retrofitting, upgrading, and modernization. Founded in 1998, the company IPO'd on Nasdaq in July 2025 and is currently facing delisting proceedings for non-compliance with the minimum bid price rule.</w:t>
      </w:r>
    </w:p>
    <w:p>
      <w:r>
        <w:rPr>
          <w:rFonts w:ascii="Calibri" w:hAnsi="Calibri"/>
          <w:b/>
          <w:color w:val="6E8450"/>
          <w:sz w:val="18"/>
        </w:rPr>
        <w:t>64 Employees · https://www.ten-league.com.sg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Ten-League has operated for 25+ years in Singapore's heavy equipment market and recently expanded through engineering consultancy services including equipment retrofitting, sensor fusion, and remote-control systems — incremental capability extensions rather than transformative launches [1]. Revenue grew 21.6% in H1 2025 to S$37.7M, driven by Changi Airport Terminal 5 construction demand [1]. AI Deployment (0/2): No evidence of AI deployment in products or operations. The company's business is traditional heavy equipment sales, rental, and maintenance [2]. Market Share (1/2): Ten-League is a meaningful player in Singapore's niche heavy equipment market, with relationships to major infrastructure projects like Changi Airport T5, but it operates in a highly localized market with no evidence of category leadership [1]. Pipeline (1/2): FY2025 revenue guidance of S$75-76M (28-30% YoY growth) shows near-term visibility tied to Singapore's infrastructure investment cycle, particularly Changi T5 [1]. R&amp;D Intensity (0/1): No evidence of R&amp;D investment; the company resells and rents third-party equipment with some value-added engineering services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Ten-League states a commitment to 'sustainability and ethical practices' and describes itself as providing 'turnkey project solutions,' but this is generic boilerplate interchangeable with any industrial equipment company [2]. No distinctive purpose or vision articulated beyond commercial success. Community Impact (0/2): No evidence of charitable programs, community investment, or foundation activity. The company has 64 employees and operates as a small commercial enterprise [2]. Employee Retention (1/2): CEO and founder Mr. Lim has led the company since its 1998 establishment — 27 years of founder-led continuity signals stability at the top, though no employee retention or turnover data is available for the broader 64-person workforce [3]. Insider Buying (0/2): As a controlled company (Ten-League Corp owns ~80% of shares), insider ownership is structurally high but this reflects founding stakes, not conviction purchases. No evidence of open-market insider buying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2.14M shares × $0.25 stock price = $543K daily liquidity, below the $1M minimum threshold [5]. Infrastructure score is automatically 0. Underlying metrics are mixed: D/E of 381.5% is extremely elevated (floor territory), ROE of 53.3% is strong, profit margin of 5.6% is thin, and revenue growth of 21.6% is robust [5]. The company is facing Nasdaq delisting for non-compliance with the $1.00 minimum bid price rule — stock has traded below $1 since shortly after its July 2025 IPO [4]. Market cap of $7.5M makes this a nano-cap with severe liquidity constraints. FY2025 guidance of S$75-76M revenue with S$5.0-5.5M net income (165-192% growth) shows improving fundamentals that cannot overcome the liquidity and delisting issues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Ten-League exhibits mixed infinite game characteristics. The 27-year founder-led track record and successful navigation of multiple infrastructure cycles in Singapore suggest endurance, but the company's decision to IPO on Nasdaq at a micro-cap scale raises questions about strategic judgment, and the immediate delisting proceedings suggest finite-game thinking around accessing US capital markets.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Ten-League exists to sell and rent heavy equipment in Singapore — a legitimate commercial purpose but not a Just Cause in Sinek's framework [2]. There is no articulated vision of a better future, no mission that inspires sacrifice, and no purpose that transcends the company's commercial activities. The company's 27-year history suggests staying power, but longevity alone does not constitute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small 64-person workforce led by a 27-year founder suggests organizational stability and likely personal relationships between leadership and employees [3]. No evidence of layoffs, restructuring, or cultural dysfunction. However, no positive evidence of exceptional trust, empowerment, or psychological safety either. The controlled company structure (80% insider ownership) creates alignment but also concentrated power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operates in a localized Singapore market and does not reference learning from competitors or using competitive pressure for self-improvement in any public communications [2]. The heavy equipment rental market is inherently relationship-driven rather than competitively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Ten-League has evolved from pure equipment sales to include rental services, engineering consultancy, and value-added services like sensor fusion and remote-control system installation — showing incremental adaptation over 27 years [2]. The Nasdaq IPO in 2025 was an attempt to access growth capital, though the execution was poor (stock immediately fell below $1). These are modest adaptations,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Nasdaq IPO as a 64-person Singapore equipment company shows ambition and willingness to take risk. Mr. Lim has maintained the company through multiple economic cycles over 27 years, including the 2008 crisis and COVID [3]. However, the IPO pricing and subsequent collapse below $1 suggest the decision may have been more opportunistic than courageous, and the company has not demonstrated costly long-term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Ten-League International Holdings is a 27-year-old Singapore heavy equipment company benefiting from a structural infrastructure investment cycle. H1 2025 revenue grew 21.6% to S$37.7M with net income surging 269% to S$2.4M, driven by Changi Airport Terminal 5 construction demand [1]. FY2025 guidance of S$75-76M revenue (28-30% growth) and S$5.0-5.5M net income (165-192% growth) shows accelerating momentum [1]. At a P/E of 2.5x and market cap of just $7.5M, the stock appears extremely cheap on a pure earnings basis. ROE of 53% demonstrates efficient capital deployment in a capital-light equipment resale and rental model. The physical-world business is immune to AI disruption and positioned for multi-year infrastructure tailwinds in Singapore.</w:t>
      </w:r>
    </w:p>
    <w:p>
      <w:pPr>
        <w:spacing w:after="120"/>
      </w:pPr>
      <w:r>
        <w:rPr>
          <w:rFonts w:ascii="Calibri" w:hAnsi="Calibri"/>
          <w:b w:val="0"/>
          <w:color w:val="3A4A28"/>
          <w:sz w:val="20"/>
        </w:rPr>
        <w:t>The bear case is severe and dominates. The stock is facing Nasdaq delisting for non-compliance with the $1.00 minimum bid price rule — it has traded below $1 since shortly after its July 2025 IPO, and the company is appealing the determination [4]. Daily liquidity averages just $543K, making institutional investment impossible and creating substantial execution risk for any position. D/E of 381% signals a heavily leveraged balance sheet with potential solvency concerns. Market cap of $7.5M makes this a nano-cap with zero analyst coverage and extreme informational asymmetry. The controlled company structure (80% insider ownership) means minority shareholders have limited governance rights [4]. Revenue concentration in Singapore infrastructure creates geographic risk — any slowdown in Changi T5 or government infrastructure spending would directly impact results. Profit margin of just 5.6% leaves minimal cushion for operational disruption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Changi Airport Terminal 5 construction — one of Singapore's largest infrastructure projects — is driving multi-year equipment demand and contributed to 269% net income growth in H1 2025 [1]</w:t>
      </w:r>
    </w:p>
    <w:p>
      <w:pPr>
        <w:spacing w:before="40" w:after="40"/>
        <w:ind w:left="283"/>
      </w:pPr>
      <w:r>
        <w:rPr>
          <w:rFonts w:ascii="Calibri" w:hAnsi="Calibri"/>
          <w:b/>
          <w:color w:val="4A6B25"/>
          <w:sz w:val="20"/>
        </w:rPr>
        <w:t xml:space="preserve">2. </w:t>
      </w:r>
      <w:r>
        <w:rPr>
          <w:rFonts w:ascii="Calibri" w:hAnsi="Calibri"/>
          <w:b w:val="0"/>
          <w:color w:val="3A4A28"/>
          <w:sz w:val="20"/>
        </w:rPr>
        <w:t>FY2025 guidance of S$75-76M revenue (28-30% YoY growth) with S$5.0-5.5M net income (165-192% growth) shows accelerating profitability trajectory [1]</w:t>
      </w:r>
    </w:p>
    <w:p>
      <w:pPr>
        <w:spacing w:before="40" w:after="40"/>
        <w:ind w:left="283"/>
      </w:pPr>
      <w:r>
        <w:rPr>
          <w:rFonts w:ascii="Calibri" w:hAnsi="Calibri"/>
          <w:b/>
          <w:color w:val="4A6B25"/>
          <w:sz w:val="20"/>
        </w:rPr>
        <w:t xml:space="preserve">3. </w:t>
      </w:r>
      <w:r>
        <w:rPr>
          <w:rFonts w:ascii="Calibri" w:hAnsi="Calibri"/>
          <w:b w:val="0"/>
          <w:color w:val="3A4A28"/>
          <w:sz w:val="20"/>
        </w:rPr>
        <w:t>Potential Nasdaq delisting appeal success and/or reverse stock split could restore compliance and unlock re-rating from current nano-cap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proceedings — stock has traded below $1.00 minimum bid price since shortly after July 2025 IPO; appeal pending before independent Hearings Panel [4]</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 $543K average daily dollar volume makes the stock uninvestable for institutional portfolios and creates extreme execution risk [5]</w:t>
      </w:r>
    </w:p>
    <w:p>
      <w:pPr>
        <w:spacing w:before="40" w:after="40"/>
        <w:ind w:left="283"/>
      </w:pPr>
      <w:r>
        <w:rPr>
          <w:rFonts w:ascii="Calibri" w:hAnsi="Calibri"/>
          <w:b/>
          <w:color w:val="4A6B25"/>
          <w:sz w:val="20"/>
        </w:rPr>
        <w:t xml:space="preserve">3. </w:t>
      </w:r>
      <w:r>
        <w:rPr>
          <w:rFonts w:ascii="Calibri" w:hAnsi="Calibri"/>
          <w:b w:val="0"/>
          <w:color w:val="3A4A28"/>
          <w:sz w:val="20"/>
        </w:rPr>
        <w:t>D/E of 381% indicates heavy leverage with potential balance sheet fragility if Singapore infrastructure spending decelerates or if the Changi T5 project timeline extends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Ten-League's core business — selling, renting, and maintaining physical heavy equipment for construction, port operations, and civil engineering — is structurally immune to AI disruption [2]. You cannot replace a 100-ton crawler crane with software. The company operates in the physical infrastructure world where AI has zero substitution risk for the primary revenue streams. Equipment retrofitting, sensor fusion, and remote-control system installation may even benefit from AI advancements in construction automation. Singapore's infrastructure investment cycle (Changi T5, MRT extensions) creates physical-world demand that AI amplifies rather than threatens. AI Opportunity (0/1): No AI-generated revenue. The company does not sell AI products or services; it sells physical equipment and engineering labor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Ten-League International Holdings FY2025 Guidance and H1 2025 Results — S$75-76M revenue guidance, 21.6% H1 revenue growth, 269% net income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Ten-League company website and SEC filings — business description, engineering consultancy services, equipment offerings, April 2026</w:t>
      </w:r>
    </w:p>
    <w:p>
      <w:pPr>
        <w:spacing w:before="20" w:after="20"/>
        <w:ind w:left="170"/>
      </w:pPr>
      <w:r>
        <w:rPr>
          <w:rFonts w:ascii="Calibri" w:hAnsi="Calibri"/>
          <w:b/>
          <w:color w:val="4A6B25"/>
          <w:sz w:val="15"/>
        </w:rPr>
        <w:t xml:space="preserve">3. </w:t>
      </w:r>
      <w:r>
        <w:rPr>
          <w:rFonts w:ascii="Calibri" w:hAnsi="Calibri"/>
          <w:b w:val="0"/>
          <w:color w:val="3A4A28"/>
          <w:sz w:val="17"/>
        </w:rPr>
        <w:t>Ten-League IR — Management team page, CEO Mr. Lim 27-year tenure, 64 employees, April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MarketScreener — Nasdaq delisting determination March 2026, controlled company structure, 80% insider ownership</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TLIH (Ten-League International Holdings),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