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TMC</w:t>
      </w:r>
      <w:r>
        <w:rPr>
          <w:rFonts w:ascii="Calibri" w:hAnsi="Calibri"/>
          <w:b/>
          <w:color w:val="1A2010"/>
          <w:sz w:val="40"/>
        </w:rPr>
        <w:t xml:space="preserve">  TMC the metals company Inc.</w:t>
      </w:r>
    </w:p>
    <w:p>
      <w:pPr>
        <w:spacing w:after="120"/>
      </w:pPr>
      <w:r>
        <w:rPr>
          <w:rFonts w:ascii="Calibri" w:hAnsi="Calibri"/>
          <w:b/>
          <w:color w:val="6E8450"/>
          <w:sz w:val="18"/>
        </w:rPr>
        <w:t>GROWTH SLEEVE · 2026-03-28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TMC the metals company is a pre-revenue deep-sea mining explorer seeking to collect polymetallic nodules containing nickel, cobalt, copper, and manganese from the Clarion-Clipperton Zone in the Pacific Ocean. The company holds exploration contracts through its NORI, TOML, and Marawa subsidiaries and is pursuing U.S. regulatory approval for commercial production targeted for Q4 2027.</w:t>
      </w:r>
    </w:p>
    <w:p>
      <w:r>
        <w:rPr>
          <w:rFonts w:ascii="Calibri" w:hAnsi="Calibri"/>
          <w:b/>
          <w:color w:val="6E8450"/>
          <w:sz w:val="18"/>
        </w:rPr>
        <w:t>https://metals.co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TMC has not yet commercialized any product; the sole operational milestone was the 2022 NORI test mining campaign conducted with Allseas-designed nodule collection equipment [2]. The company went public via SPAC merger in 2021 and remains pre-revenue. AI Deployment (0/2): No AI products or AI-driven efficiency programs have been disclosed [2]. Market Share (2/2): TMC is the only company globally with demonstrated technical capability to collect polymetallic nodules at scale, and it controls approximately 65,000 sq km of exploration area in the CCZ — a de facto monopoly position in an emerging category [2]. Pipeline (2/2): The Pre-Feasibility Study projects $23.6B resource NPV with 43% EBITDA margins at $600/dry ton, NOAA compliance determination was achieved in March 2026, and commercial production is targeted for Q4 2027 with specific processing pathway visibility [1]. R&amp;D Intensity (0/1): R&amp;D spending is not disclosed separately, and the company's total operating expenses are dominated by G&amp;A and exploration costs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TMC's stated mission is to 'supply metals for the clean energy transition with the least planetary impact,' which is specific and connects to a larger purpose, but has been undermined by greenwashing allegations — Greenpeace and Pulitzer Center investigations documented how TMC shifted its narrative from environmental solution to national security once the green framing lost credibility [3]. Community Impact (0/2): TMC has been heavily criticized by Pacific Island communities, governments, and campaigners for neo-colonial extractivism. France's ocean minister called the U.S. permitting approach 'piracy,' and 32 nations have called for a moratorium on deep-sea mining [3]. Employee Retention (0/2): No employee count or retention data is publicly available for this small pre-revenue company. Insider Buying (1/2): CFO Craig Shesky and directors Karkar and Madsbjerg exercised stock options in February 2026 at $0.52-0.65/share (well below the current $4.27 price), showing some conviction, though these are option exercises rather than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TMC is a pre-revenue exploration-stage company with no revenue, no earnings, and no traditional financial infrastructure. The only scorable metric is profit margin at 0.0% (at the floor) [4]. D/E, ROE, revenue growth, and PEG are all unavailable or meaningless for a company that has never generated revenue. The company posted a $40.4M Q4 2025 operating loss and $184.5M Q3 2025 net loss, with cash of $117.6M and total liquidity of $162M including undrawn credit facilities [1]. Forward EPS is -$0.185, indicating continued losses through 2026. Liquidity floor cleared at $33.9M daily turnover, but infrastructure score remains 0 based on the sole available metric scoring 0/1.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TMC exhibits finite game characteristics: CEO Barron's track record includes the Nautilus Minerals bankruptcy, the company has opportunistically shifted its narrative from environmental mission to national security to match political winds, and the bypass of international regulatory frameworks in favor of unilateral U.S. permitting prioritizes speed over legitimacy. The company plays to win a regulatory race, not to build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TMC's stated purpose of supplying critical minerals with 'the least planetary impact' has been credibly challenged — Greenpeace documented narrative shifts from environmental solution to national security framing, and a Pulitzer Center investigation revealed systematic communication strategies to legitimize controversial practices [3]. A cause that changes with political winds is not a Just Cause in Sinek's framework. The underlying idea of ethical mineral sourcing has merit but is not validated by consistent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TMC provides virtually no transparency on organizational culture, employee count, or retention. CEO Barron's previous venture, Nautilus Minerals, went bankrupt leaving Papua New Guinea with $100M+ in losses, which raises trust concerns about leadership continuity under adversity [2]. The company's small, pre-revenue status and geographically dispersed team (headquartered in Canada, operations in the Pacific) make trust assessment difficult, but the absence of evidence defaults to 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TMC's competitive language positions the company as uniquely capable — 'the only company globally with the technical capability to mine the ocean floor at scale' [2]. This is monopoly framing rather than competitive learning. Management does not acknowledge the threat from alternative battery chemistries (LFP, sodium-ion) that could reduce demand for the very minerals TMC seeks to extract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TMC demonstrated meaningful pivot capability by shifting from the International Seabed Authority permitting pathway to the U.S. Deep Seabed Hard Mineral Resources Act when the ISA process stalled [1]. The creation of The Metals Royalty Co. (TMCR) as a separate Nasdaq-listed entity shows financial structure creativity. However, these pivots are driven by desperation (ISA regulatory blockage) rather than strategic vision, which is finite rather than infinite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Barron has shown willingness to pursue deep-sea mining despite opposition from 32 nations, 60+ corporations (BMW, Panasonic, Renault), major environmental organizations, and significant investor divestment (Storebrand) [3]. This requires genuine courage, though it is courage in service of a controversial and potentially destructive enterprise rather than a clearly just cause. The decision to bypass international frameworks for U.S. permitting was bold but may prove reckless.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TMC represents a binary outcome bet on deep-sea mineral extraction that could unlock a $23.6B NPV resource base. NOAA's March 2026 compliance determination moves the company closer to the first-ever commercial deep-sea mining license under U.S. law, with production targeted for Q4 2027 [1]. The 65,000 sq km CCZ exploration area contains polymetallic nodules rich in nickel, cobalt, copper, and manganese — metals essential for EV batteries and energy infrastructure that currently face Chinese supply chain dominance. Strategic partners including Korea Zinc and the Hess family provide credibility and capital access [1]. At a $2.3B market cap with $162M liquidity, TMC offers asymmetric upside if commercial production materializes at the projected 43% EBITDA margins and $600/dry ton economics [1]. Wedbush maintains a Buy rating.</w:t>
      </w:r>
    </w:p>
    <w:p>
      <w:pPr>
        <w:spacing w:after="120"/>
      </w:pPr>
      <w:r>
        <w:rPr>
          <w:rFonts w:ascii="Calibri" w:hAnsi="Calibri"/>
          <w:b w:val="0"/>
          <w:color w:val="3A4A28"/>
          <w:sz w:val="20"/>
        </w:rPr>
        <w:t>The bear case is severe and multi-dimensional. TMC is pre-revenue with cumulative losses exceeding $500M, and CEO Barron's prior deep-sea mining venture (Nautilus Minerals) went bankrupt, leaving Papua New Guinea with $100M+ in losses [2]. The unilateral U.S. permitting approach bypasses UNCLOS and faces opposition from 32 nations — France's ocean minister called it 'piracy' — creating existential legal risk if a future administration reverses course [3]. Sixty major corporations including BMW, Panasonic, and Renault have pledged to avoid deep-sea mined minerals, potentially limiting TMC's addressable market [3]. Environmental organizations have filed SEC complaints alleging material misrepresentation of risks [3]. Battery chemistry evolution toward LFP and sodium-ion formulations that eliminate cobalt, nickel, and manganese could erode demand for the very minerals TMC plans to extract. The $4.27 stock price is down 33% from its 50-day SMA of $6.38, reflecting the market's growing skepticism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NOAA permit approval for commercial deep-sea mining under the Deep Seabed Hard Mineral Resources Act, advancing beyond the March 2026 compliance determination toward a full license [1]</w:t>
      </w:r>
    </w:p>
    <w:p>
      <w:pPr>
        <w:spacing w:before="40" w:after="40"/>
        <w:ind w:left="283"/>
      </w:pPr>
      <w:r>
        <w:rPr>
          <w:rFonts w:ascii="Calibri" w:hAnsi="Calibri"/>
          <w:b/>
          <w:color w:val="4A6B25"/>
          <w:sz w:val="20"/>
        </w:rPr>
        <w:t xml:space="preserve">2. </w:t>
      </w:r>
      <w:r>
        <w:rPr>
          <w:rFonts w:ascii="Calibri" w:hAnsi="Calibri"/>
          <w:b w:val="0"/>
          <w:color w:val="3A4A28"/>
          <w:sz w:val="20"/>
        </w:rPr>
        <w:t>The Metals Royalty Co. (TMCR) Nasdaq listing in April 2026, monetizing a 2.0% Gross Overriding Royalty and providing TMC with ~25% equity stake in a listed royalty vehicle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 expansion — Korea Zinc and Hess family involvement signals institutional validation and potential offtake agreements for critical mineral supply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legal challenge — bypassing UNCLOS and ISA with unilateral U.S. permits exposes TMC to contract revocation, diplomatic pressure from 32 opposing nations, and potential reversal under a future administration [3]</w:t>
      </w:r>
    </w:p>
    <w:p>
      <w:pPr>
        <w:spacing w:before="40" w:after="40"/>
        <w:ind w:left="283"/>
      </w:pPr>
      <w:r>
        <w:rPr>
          <w:rFonts w:ascii="Calibri" w:hAnsi="Calibri"/>
          <w:b/>
          <w:color w:val="4A6B25"/>
          <w:sz w:val="20"/>
        </w:rPr>
        <w:t xml:space="preserve">2. </w:t>
      </w:r>
      <w:r>
        <w:rPr>
          <w:rFonts w:ascii="Calibri" w:hAnsi="Calibri"/>
          <w:b w:val="0"/>
          <w:color w:val="3A4A28"/>
          <w:sz w:val="20"/>
        </w:rPr>
        <w:t>Battery chemistry disruption — rapid adoption of LFP and sodium-ion batteries that eliminate cobalt, nickel, and manganese could structurally reduce demand for TMC's target minerals [2]</w:t>
      </w:r>
    </w:p>
    <w:p>
      <w:pPr>
        <w:spacing w:before="40" w:after="40"/>
        <w:ind w:left="283"/>
      </w:pPr>
      <w:r>
        <w:rPr>
          <w:rFonts w:ascii="Calibri" w:hAnsi="Calibri"/>
          <w:b/>
          <w:color w:val="4A6B25"/>
          <w:sz w:val="20"/>
        </w:rPr>
        <w:t xml:space="preserve">3. </w:t>
      </w:r>
      <w:r>
        <w:rPr>
          <w:rFonts w:ascii="Calibri" w:hAnsi="Calibri"/>
          <w:b w:val="0"/>
          <w:color w:val="3A4A28"/>
          <w:sz w:val="20"/>
        </w:rPr>
        <w:t>Environmental and reputational risk — SEC complaints, Greenpeace campaigns, corporate boycotts from 60+ companies, and investor divestments (Storebrand) could limit financing access and customer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Deep-sea mining is an entirely physical operation requiring specialized vessels, nodule collection systems, and metallurgical processing infrastructure that AI cannot substitute [2]. The business involves operating in 4-6 km ocean depths with custom-engineered Allseas collection equipment — there is zero AI substitution risk for the core activity. Regulatory permitting, international law navigation, and environmental monitoring add complexity layers that benefit from human judgment, not AI automation. AI could theoretically accelerate competitor R&amp;D in alternative battery chemistries (LFP, sodium-ion), which represents an indirect threat to nodule demand, but this is a demand risk rather than a business model disruption [3]. AI Opportunity (0/1): TMC does not generate any AI-related revenue and has not disclosed AI deployment in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TMC Q4 and Full Year 2025 Results — $117.6M cash, $44.7M Q4 operating loss, NOAA compliance determination, March 2026</w:t>
      </w:r>
    </w:p>
    <w:p>
      <w:pPr>
        <w:spacing w:before="20" w:after="20"/>
        <w:ind w:left="170"/>
      </w:pPr>
      <w:r>
        <w:rPr>
          <w:rFonts w:ascii="Calibri" w:hAnsi="Calibri"/>
          <w:b/>
          <w:color w:val="4A6B25"/>
          <w:sz w:val="15"/>
        </w:rPr>
        <w:t xml:space="preserve">2. </w:t>
      </w:r>
      <w:r>
        <w:rPr>
          <w:rFonts w:ascii="Calibri" w:hAnsi="Calibri"/>
          <w:b w:val="0"/>
          <w:color w:val="3A4A28"/>
          <w:sz w:val="17"/>
        </w:rPr>
        <w:t>TMC Company Overview, Team, and Technology — deep-sea mining capability, Allseas nodule collection system, CEO Barron background, March 2026</w:t>
      </w:r>
    </w:p>
    <w:p>
      <w:pPr>
        <w:spacing w:before="20" w:after="20"/>
        <w:ind w:left="170"/>
      </w:pPr>
      <w:r>
        <w:rPr>
          <w:rFonts w:ascii="Calibri" w:hAnsi="Calibri"/>
          <w:b/>
          <w:color w:val="4A6B25"/>
          <w:sz w:val="15"/>
        </w:rPr>
        <w:t xml:space="preserve">3. </w:t>
      </w:r>
      <w:r>
        <w:rPr>
          <w:rFonts w:ascii="Calibri" w:hAnsi="Calibri"/>
          <w:b w:val="0"/>
          <w:color w:val="3A4A28"/>
          <w:sz w:val="17"/>
        </w:rPr>
        <w:t>Greenpeace International, Deep Sea Conservation Coalition, Mining Watch Canada — TMC ESG controversies, SEC complaints, neo-colonial criticism, narrative analysis,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TMC, insider transactions,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