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TMHC</w:t>
      </w:r>
      <w:r>
        <w:rPr>
          <w:rFonts w:ascii="Calibri" w:hAnsi="Calibri"/>
          <w:b/>
          <w:color w:val="1A2010"/>
          <w:sz w:val="40"/>
        </w:rPr>
        <w:t xml:space="preserve">  Taylor Morrison Home Corporation</w:t>
      </w:r>
    </w:p>
    <w:p>
      <w:pPr>
        <w:spacing w:after="120"/>
      </w:pPr>
      <w:r>
        <w:rPr>
          <w:rFonts w:ascii="Calibri" w:hAnsi="Calibri"/>
          <w:b/>
          <w:color w:val="6E8450"/>
          <w:sz w:val="18"/>
        </w:rPr>
        <w:t>GROWTH SLEEVE · 2026-05-04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Taylor Morrison designs, builds, and sells single-family and multifamily homes in the United States for entry-level, move-up, and resort lifestyle buyers under the Taylor Morrison and Esplanade brands. The company also develops master-planned communities, operates a Build-to-Rent business under the Yardly brand, and provides financial services, title insurance, and closing settlement services. Founded in 1936 and headquartered in Scottsdale, Arizona.</w:t>
      </w:r>
    </w:p>
    <w:p>
      <w:r>
        <w:rPr>
          <w:rFonts w:ascii="Calibri" w:hAnsi="Calibri"/>
          <w:b/>
          <w:color w:val="6E8450"/>
          <w:sz w:val="18"/>
        </w:rPr>
        <w:t>2,800 Employees · https://www.taylormorrison.com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Taylor Morrison has incrementally expanded from traditional homebuilding into Build-to-Rent under the Yardly brand and launched an online home customization platform during COVID, but no transformative business model shifts in the last 5 years [1][2]. AI Deployment (1/2): The company launched an AI-powered digital assistant in late 2025 to enhance the homebuying experience through dynamic, data-driven guidance, though measurable revenue impact has not been disclosed [2]. Market Share (1/2): TMHC is the nation's fifth-largest homebuilder by closings, a meaningful player but not the category leader; guided for approximately 11,000 closings in 2026 at $580K-$590K average price [1]. Pipeline (1/2): Reaffirmed full-year 2026 guidance with steady community count growth, but no next-generation product platform or major market expansion announced [1]. R&amp;D Intensity (1/1): Investment in digital homebuying tools, Interactive Home 2.0 smart home partnership with Legrand, and online configuration platform show above-average tech adoption for the homebuilding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Taylor Morrison's purpose centers on 'making the dream of home ownership a reality' with the TMLiving employer value proposition built on Spirit and Pride, Health and Wellness, and Community and Giving — clear and specific to their business but not deeply distinctive beyond the industry [2]. Community Impact (2/2): The company has certified over 5,000 acres of wildlife habitat through partnership with the National Wildlife Federation, delivered 3,700+ homes on redevelopment and infill lots, and publishes annual ESG reports since 2019 — concrete, measurable community investment [3]. Employee Retention (1/2): CEO Sheryl Palmer achieved a 96% Glassdoor approval rating (ranked 19th among all large-company CEOs in the U.S.), and the 'shoes off' leadership culture suggests above-average employee engagement, though specific turnover metrics are unavailable [2]. Insider Buying (1/2): Insider activity in 2026 shows net selling — Director Denise Warren sold $213K in shares in February 2026, and officer Stevin Merrill sold $309K in September 2025, with remaining transactions being stock award grants and associated tax withholding sales. Roughly balanced activity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Taylor Morrison trades at a compelling 9.4x forward P/E with conservative D/E of 38.6%, but Q1 2026 revenue of $1.39B declined 26.8% YoY reflecting challenging housing affordability conditions [1]. ROE of 11.1% is below the 15% target, and profit margin of 8.8% is modest for the sector. The PEG ratio of 1.41 reflects moderate growth expectations. Home closings gross margin of 20.6% in Q1 2026 demonstrates pricing discipline despite volume declines [1]. Book value of $65.19 per share against a $60.39 stock price (0.93x P/B) provides downside protection. Liquidity is ample at $77.7M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Taylor Morrison under Sheryl Palmer plays a long game rooted in community building and customer experience, but the company operates in a cyclical industry where quarterly housing starts and interest rate sensitivity can force finite-game decisions around discounting, incentives, and land write-downs.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Taylor Morrison's purpose of making homeownership a reality through quality communities is genuine and partially validated by nearly 90 years of continuous operation (founded 1936) and consistent community investment through wildlife habitat certification and infill development [3]. The TMLiving employer value proposition connects purpose to daily operations. However, the cause hasn't been tested through a transformative strategic shift — it remains a well-executed traditional homebuilding model.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Sheryl Palmer's 96% Glassdoor approval rating and 'shoes off' leadership philosophy signal genuine employee trust and engagement [2]. The company's transparent handling of its digital transformation — openly addressing sales reps' fears about technology replacing them — demonstrates willingness to be honest about difficult transitions. However, at 2,800 employees for a top-5 homebuilder, the lean workforce suggests reliance on subcontractors whose trust dynamics are harder to assess.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Taylor Morrison's competitive posture reflects an improvement mindset — the company's Interactive Home 2.0 partnership with Legrand and digital customization platform were developed by studying what competitors and adjacent industries were doing with technology, not by trying to 'beat' rivals [2]. Management language in earnings calls focuses on operational improvement and customer experience differentiation rather than market share warfare.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Taylor Morrison has shown incremental flexibility by launching the Build-to-Rent Yardly brand and expanding into financial services and title insurance, adapting to shifting housing affordability dynamics [1]. The COVID-era digital homebuying platform was a meaningful adaptation. However, these are adjacent-market extensions rather than transformative pivots — the company remains fundamentally a single-family homebuilder.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Palmer demonstrated courage by investing in digital transformation during COVID despite internal resistance from sales teams who feared replacement [2]. The company maintained its quality-focused, higher-price-point strategy rather than chasing volume during the housing downturn. However, the recent revenue decline of 26.8% raises questions about whether leadership is making proactive long-term investments or simply riding the cycle.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Taylor Morrison is a well-managed, fifth-largest U.S. homebuilder trading at just 0.93x book value and 9.4x forward earnings — a deep value opportunity if housing affordability improves [1]. CEO Sheryl Palmer has built a strong culture (96% Glassdoor CEO approval) and invested in digital tools that accelerate closings by 40% [2]. The company's conservative balance sheet (D/E 38.6%) and diversified buyer exposure (entry-level, move-up, resort lifestyle, Build-to-Rent) provide resilience. Guided for 11,000 closings in 2026 at $580K-$590K average price with 20.6% gross margins, suggesting steady execution despite cyclical headwinds [1]. The Inspire Impact Score of 56 (ALIGNED) reflects strong ESG practices across 13 positive attribution categories with zero negative flags [3].</w:t>
      </w:r>
    </w:p>
    <w:p>
      <w:pPr>
        <w:spacing w:after="120"/>
      </w:pPr>
      <w:r>
        <w:rPr>
          <w:rFonts w:ascii="Calibri" w:hAnsi="Calibri"/>
          <w:b w:val="0"/>
          <w:color w:val="3A4A28"/>
          <w:sz w:val="20"/>
        </w:rPr>
        <w:t>The bear case centers on severe cyclical pressure — Q1 2026 revenue declined 26.8% YoY and EPS fell 51.2% as elevated mortgage rates (6.5%+) suppress demand [1]. Profit margin of 8.8% is thin for the industry, and ROE of 11.1% sits below the cost of equity during high-rate environments. With revenue essentially flat over 3 years ($8.2B in 2022 vs. $8.1B in 2025), organic growth has stalled. BofA downgraded TMHC to Neutral in early 2026, flagging EPS and delivery risks [2]. The company's geographic concentration in Sun Belt markets (Arizona, Florida, Texas) exposes it to overbuilding risk if migration trends reverse. At 2,800 employees managing $7.6B in TTM revenue, the company is highly leveraged to subcontractor availability and construction cost inflation.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relief below 6% would unlock significant pent-up demand, particularly for TMHC's entry-level and move-up buyer segments where affordability is the binding constraint [1]</w:t>
      </w:r>
    </w:p>
    <w:p>
      <w:pPr>
        <w:spacing w:before="40" w:after="40"/>
        <w:ind w:left="283"/>
      </w:pPr>
      <w:r>
        <w:rPr>
          <w:rFonts w:ascii="Calibri" w:hAnsi="Calibri"/>
          <w:b/>
          <w:color w:val="4A6B25"/>
          <w:sz w:val="20"/>
        </w:rPr>
        <w:t xml:space="preserve">2. </w:t>
      </w:r>
      <w:r>
        <w:rPr>
          <w:rFonts w:ascii="Calibri" w:hAnsi="Calibri"/>
          <w:b w:val="0"/>
          <w:color w:val="3A4A28"/>
          <w:sz w:val="20"/>
        </w:rPr>
        <w:t>Build-to-Rent expansion under the Yardly brand provides counter-cyclical revenue as rental demand strengthens when homeownership becomes less affordable [1]</w:t>
      </w:r>
    </w:p>
    <w:p>
      <w:pPr>
        <w:spacing w:before="40" w:after="40"/>
        <w:ind w:left="283"/>
      </w:pPr>
      <w:r>
        <w:rPr>
          <w:rFonts w:ascii="Calibri" w:hAnsi="Calibri"/>
          <w:b/>
          <w:color w:val="4A6B25"/>
          <w:sz w:val="20"/>
        </w:rPr>
        <w:t xml:space="preserve">3. </w:t>
      </w:r>
      <w:r>
        <w:rPr>
          <w:rFonts w:ascii="Calibri" w:hAnsi="Calibri"/>
          <w:b w:val="0"/>
          <w:color w:val="3A4A28"/>
          <w:sz w:val="20"/>
        </w:rPr>
        <w:t>AI-powered digital homebuying tools driving 40% faster closings and 23% higher customer spend, with continued rollout across all communities expected to improve conversion rates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elevated mortgage rates above 6.5% could further compress closings volume below the guided 11,000 units, with each 50bps rate increase estimated to reduce qualifying buyers by 5-7% [1]</w:t>
      </w:r>
    </w:p>
    <w:p>
      <w:pPr>
        <w:spacing w:before="40" w:after="40"/>
        <w:ind w:left="283"/>
      </w:pPr>
      <w:r>
        <w:rPr>
          <w:rFonts w:ascii="Calibri" w:hAnsi="Calibri"/>
          <w:b/>
          <w:color w:val="4A6B25"/>
          <w:sz w:val="20"/>
        </w:rPr>
        <w:t xml:space="preserve">2. </w:t>
      </w:r>
      <w:r>
        <w:rPr>
          <w:rFonts w:ascii="Calibri" w:hAnsi="Calibri"/>
          <w:b w:val="0"/>
          <w:color w:val="3A4A28"/>
          <w:sz w:val="20"/>
        </w:rPr>
        <w:t>Sun Belt overbuilding risk — Arizona, Florida, and Texas markets face elevated new home inventory that could force pricing concessions and margin compression below 20% gross margin [1]</w:t>
      </w:r>
    </w:p>
    <w:p>
      <w:pPr>
        <w:spacing w:before="40" w:after="40"/>
        <w:ind w:left="283"/>
      </w:pPr>
      <w:r>
        <w:rPr>
          <w:rFonts w:ascii="Calibri" w:hAnsi="Calibri"/>
          <w:b/>
          <w:color w:val="4A6B25"/>
          <w:sz w:val="20"/>
        </w:rPr>
        <w:t xml:space="preserve">3. </w:t>
      </w:r>
      <w:r>
        <w:rPr>
          <w:rFonts w:ascii="Calibri" w:hAnsi="Calibri"/>
          <w:b w:val="0"/>
          <w:color w:val="3A4A28"/>
          <w:sz w:val="20"/>
        </w:rPr>
        <w:t>BofA downgrade to Neutral with flagged EPS and delivery risks signals sell-side skepticism about the 2026 outlook; further downgrades could pressure the stock below book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Homebuilding is fundamentally a physical-world business — AI cannot pour foundations, frame walls, or navigate local zoning and permitting processes. Taylor Morrison's core value proposition involves land acquisition, construction logistics, and local market expertise that require deep human judgment and physical infrastructure [1]. Mortgage rates, land entitlements, and municipal approvals create regulatory moats that AI cannot displace. AI may modestly improve design automation and customer matching but cannot substitute the core construction and land development operations. AI Opportunity (1/1): TMHC launched an AI-powered digital assistant for homebuyers in late 2025, and its online configuration platform with AI-driven guidance has demonstrated measurable results — customers who started online closed 40% faster and spent 23% more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Taylor Morrison Q1 2026 Earnings Release — $1.39B revenue, $99M net income, 2,268 closings at $578K average price, April 2026</w:t>
      </w:r>
    </w:p>
    <w:p>
      <w:pPr>
        <w:spacing w:before="20" w:after="20"/>
        <w:ind w:left="170"/>
      </w:pPr>
      <w:r>
        <w:rPr>
          <w:rFonts w:ascii="Calibri" w:hAnsi="Calibri"/>
          <w:b/>
          <w:color w:val="4A6B25"/>
          <w:sz w:val="15"/>
        </w:rPr>
        <w:t xml:space="preserve">2. </w:t>
      </w:r>
      <w:r>
        <w:rPr>
          <w:rFonts w:ascii="Calibri" w:hAnsi="Calibri"/>
          <w:b w:val="0"/>
          <w:color w:val="3A4A28"/>
          <w:sz w:val="17"/>
        </w:rPr>
        <w:t>Taylor Morrison Investor Relations, Glassdoor CEO ratings, AI digital assistant launch, and digital homebuying platform metrics</w:t>
      </w:r>
    </w:p>
    <w:p>
      <w:pPr>
        <w:spacing w:before="20" w:after="20"/>
        <w:ind w:left="170"/>
      </w:pPr>
      <w:r>
        <w:rPr>
          <w:rFonts w:ascii="Calibri" w:hAnsi="Calibri"/>
          <w:b/>
          <w:color w:val="4A6B25"/>
          <w:sz w:val="15"/>
        </w:rPr>
        <w:t xml:space="preserve">3. </w:t>
      </w:r>
      <w:r>
        <w:rPr>
          <w:rFonts w:ascii="Calibri" w:hAnsi="Calibri"/>
          <w:b w:val="0"/>
          <w:color w:val="3A4A28"/>
          <w:sz w:val="17"/>
        </w:rPr>
        <w:t>Taylor Morrison Fourth Annual ESG Report and National Wildlife Federation partnership, April 2022</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TMHC,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