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TMO</w:t>
      </w:r>
      <w:r>
        <w:rPr>
          <w:rFonts w:ascii="Calibri" w:hAnsi="Calibri"/>
          <w:b/>
          <w:color w:val="1A2010"/>
          <w:sz w:val="40"/>
        </w:rPr>
        <w:t xml:space="preserve">  Thermo Fisher Scientific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2026-04-15 · Inspire: -92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Diagnostics &amp; Research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Thermo Fisher Scientific is the world's leading life-sciences tools and services company, operating four segments: Life Sciences Solutions, Analytical Instruments, Specialty Diagnostics, and Laboratory Products &amp; Biopharma Services (including CDMO pharma services from the PPD acquisition). Customers span pharma, biotech, academic research, hospitals, and clinical labs.</w:t>
      </w:r>
    </w:p>
    <w:p>
      <w:r>
        <w:rPr>
          <w:rFonts w:ascii="Calibri" w:hAnsi="Calibri"/>
          <w:b/>
          <w:color w:val="6E8450"/>
          <w:sz w:val="18"/>
        </w:rPr>
        <w:t>100,000 Employees · https://www.thermofisher.com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2025 revenue of $44.56B (up 3.9%) and net income of $6.70B ($17.74 EPS, up from $16.53) demonstrate consistent execution through a difficult bioscience funding cycle [1]. 2026 guidance is $46.3B–$47.2B (4-6% growth) with adjusted EPS of $24.22–$24.80 [2]. AI Deployment (2/2): Thermo Fisher announced a collaboration with OpenAI to accelerate drug development, and CEO Marc Casper publicly positions AI as 'a powerful enabler of innovation' across the pharma services business [3]. Market Share (2/2): TMO is the #1 life-sciences tools company globally with dominant share in chromatography, mass spectrometry, cell culture, and a top-tier CDMO business from the PPD acquisition. Pipeline (1/2): New product vitality index is a persistent investor focus area; management cites a strong launch cadence but revenue growth has decelerated vs. COVID-era peaks. R&amp;D Intensity (0/1): R&amp;D intensity (~4% of revenue) is modest versus pharma customers and does not rise to the 'innovation intensity' threshold that defines Tier-1 R&amp;D companies.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Thermo Fisher's mission — 'enable customers to make the world healthier, cleaner and safer' — is genuinely meaningful and Casper has been a credible, mission-aligned CEO since 2009 [3]. The company's tools support 90%+ of FDA drug approvals in recent years, giving the work real societal stakes. Community Impact (2/2): TMO employs ~100,000, and the Inspire Insight dataset attributes it with 21 positive ESG factors including Product Access and Affordability, Employee Wellbeing, Water Conservation, and Ethical Supply Chain Management. Employee Retention (1/2): Casper's tenure (since 2009) is extraordinary for a large-cap CEO and points to continuity; no major senior-departure red flags. Insider Buying (1/2): Long CEO tenure suggests aligned incentives, but no notable recent insider buying at current levels.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Solid financial profile. Revenue of $44.56B growing 3.9%, profit margin of 15.0%, ROE of 13.0%, and D/E of 77.3% reflect a capital-efficient, well-capitalized business [4]. Forward P/E of 19.4x vs. trailing 29.8x reflects analyst EPS growth expectations into $24+ territory, making the multiple reasonable for a durable compounder [4][2]. Revenue growth of 7.2% YoY on the yfinance measure is in line with the 4-6% 2026 guidance midpoint [4][2]. Liquidity floor easily cleared: 2.27M avg volume x $527.22 = $1.2B daily [4]. Market cap of $196B supports investment-grade balance sheet access and disciplined M&amp;A.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Thermo Fisher under Marc Casper (CEO since 2009) is a textbook infinite-game operator — patient serial acquisitions (PPD, Life Technologies, Qiagen attempt), consistent mission communication, and long-duration investment in the life-sciences research ecosystem. The business model benefits directly from customers making multi-decade bets on biotech and diagnostics.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'Making the world healthier, cleaner, and safer' is a substantive just cause backed by products enabling the majority of new drug approvals, environmental testing, and clinical diagnostics [3]. The mission orientation is credibly internalized across the leadership team.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Casper's 17-year CEO tenure and stable senior team are strong proxies for a trust-based culture, and the company emphasizes colleague engagement and community support in its public communication [3]. 100,000 employees with no major unionization or culture crisis in coverage.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Thermo Fisher actively benchmarks against Danaher, Agilent, Waters, and Bio-Rad in tools, and against Catalent and IQVIA in pharma services, using each rivalry to focus capital allocation and product strategy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TMO has reshaped itself multiple times — from Thermo Electron + Fisher Scientific merger, to Life Technologies acquisition pivoting into genomics, to the $17B PPD deal pivoting into CDMO / clinical trial services [1]. Each move anticipated a structural shift in bioscience.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Casper's decision to expand into pharma services via PPD at scale during the COVID peak was a bold, long-duration bet that reshaped the company's earnings profile [3]. Continued capex through the biotech funding downturn of 2023-2025 shows counter-cyclical conviction.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Thermo Fisher is the undisputed leader in life-sciences tools and pharma services, with 2025 revenue of $44.56B, net income of $6.70B ($17.74 EPS), and 2026 guidance of $46.3–47.2B (4-6% growth) with EPS of $24.22–$24.80 [1][2]. Forward P/E of 19.4x is reasonable for a durable compounder with 15% profit margins, 13% ROE, and exposure to biotech R&amp;D, clinical trials, and manufacturing scale-up [4]. The OpenAI collaboration positions TMO as an AI enabler rather than a target — the more AI accelerates drug discovery, the more mass specs, sequencers, reagents, and CDMO capacity customers consume [3]. Marc Casper's 17-year CEO tenure and disciplined M&amp;A track record (Life Tech, PPD) reduce execution risk on the next phase of growth.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cycle and category risk. 2025 growth of 3.9% and 2026 organic growth of 3-4% reflect ongoing softness in academic research funding (NIH exposure), bioprocessing destock, and China demand that has yet to fully normalize [1][2]. The $17.7B PPD acquisition remains a complex integration and CDMO revenue can be lumpy. From a faith-alignment standpoint, TMO's Inspire score of -92 reflects the company's involvement in abortifacients, embryonic stem cell research, IVF, and LGBT activism — meaningful concerns for values-driven investors despite the strong positive-attribution list (21 categories including Product Access, Water Conservation, Supply Chain Ethics). Ongoing litigation (Henrietta Lacks-related settlement, DEA recordkeeping, a retracted Chinese DNA study) keeps a reputational overhang in place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OpenAI collaboration driving AI-accelerated drug discovery workflows that consume more TMO consumables and services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Bioprocessing destock completion and return to mid-single-digit organic growth in the core Life Sciences Solutions segment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PPD-driven CDMO capacity fill as biopharma pipelines re-accelerate post-funding-downturn, supporting Laboratory Products &amp; Biopharma Services margins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NIH and academic research funding cuts pressuring the instrument and consumables growth rate through 2026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China demand weakness and geopolitical risk on tools exports, plus reputational exposure from the retracted Chinese DNA study collaboration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Faith-alignment and ESG exposure — embryonic stem cell reagents, IVF products, and abortifacient-related supply chain involvement surface recurring investor and activist attention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Thermo Fisher sells the picks and shovels for AI-enabled drug discovery — mass specs, sequencers, cell-culture reagents, and pharma services capacity. The more AI accelerates drug discovery, the more TMO's tools and CDMO capacity are consumed [3]. Physical instruments and a global CDMO footprint are structurally protected from AI substitution. AI Opportunity (1/1): The OpenAI collaboration to accelerate scientific discovery and the broader deployment of AI in TMO's pharma services and informatics platforms represent a meaningful, nearer-term growth vector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-92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Abortifacients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Embryonic Stem Cells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In Vitro Fertilization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Thermo Fisher Scientific 2025 full-year results — revenue $44.56B, net income $6.70B ($17.74 EPS)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GenomeWeb / Thermo Fisher 2026 guidance — revenue $46.3-$47.2B, EPS $24.22-$24.80, organic growth 3-4%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Thermo Fisher corporate communications — Marc Casper on AI as innovation enabler and OpenAI drug-discovery collaboration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TMO, retrieved April 15,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Justice Department, Chemical &amp; Engineering News, FDLI — TMO DEA settlement, retracted study, and Henrietta Lacks litigation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