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TNGX</w:t>
      </w:r>
      <w:r>
        <w:rPr>
          <w:rFonts w:ascii="Calibri" w:hAnsi="Calibri"/>
          <w:b/>
          <w:color w:val="1A2010"/>
          <w:sz w:val="40"/>
        </w:rPr>
        <w:t xml:space="preserve">  Tango Therapeutics, Inc.</w:t>
      </w:r>
    </w:p>
    <w:p>
      <w:pPr>
        <w:spacing w:after="120"/>
      </w:pPr>
      <w:r>
        <w:rPr>
          <w:rFonts w:ascii="Calibri" w:hAnsi="Calibri"/>
          <w:b/>
          <w:color w:val="6E8450"/>
          <w:sz w:val="18"/>
        </w:rPr>
        <w:t>GROWTH SLEEVE · 2026-04-08 · Inspire: 17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Tango Therapeutics, Inc. is a precision oncology company focused on discovering and developing novel drug targets using CRISPR-based functional genomics. The company's pipeline includes TNG462 (vopimetostat), an MTA-cooperative PRMT5 inhibitor in Phase 1/2 for pancreatic and lung cancer; TNG456, a brain-penetrant PRMT5 inhibitor for glioblastoma; and TNG260, a CoREST inhibitor targeting immune evasion in solid tumors.</w:t>
      </w:r>
    </w:p>
    <w:p>
      <w:r>
        <w:rPr>
          <w:rFonts w:ascii="Calibri" w:hAnsi="Calibri"/>
          <w:b/>
          <w:color w:val="6E8450"/>
          <w:sz w:val="18"/>
        </w:rPr>
        <w:t>137 Employees · https://www.tangotx.com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Tango is a clinical-stage biotech with no approved products, though it has built a differentiated CRISPR-based synthetic lethality platform that has generated multiple clinical candidates since its 2021 SPAC merger and advanced vopimetostat through Phase 1/2 [1][2]. AI Deployment (1/2): The company leverages computational biology and CRISPR-based functional genomics for synthetic lethal target identification, representing sophisticated but not AI-native technology deployment; no specific AI/ML drug discovery tools have been disclosed [2]. Market Share (1/2): Tango occupies a first-mover position in MTA-cooperative PRMT5 inhibition targeting MTAP-deleted cancers, a genetically defined population representing approximately 15% of all cancers, though it has zero commercial market share without approved products [1]. Pipeline (2/2): The pipeline is robust for a 137-person company — vopimetostat in Phase 1/2 for pancreatic/lung cancer, TNG456 brain-penetrant PRMT5 inhibitor for glioblastoma, and TNG260 CoREST inhibitor for immune evasion represent three distinct therapeutic mechanisms [1][2]. R&amp;D Intensity (1/1): As a pre-revenue clinical-stage company, virtually all capital is directed toward R&amp;D and clinical development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Tango's mission to deliver 'the next generation of precision medicine for cancer treatment' is worthy and patient-centered but represents standard biotech oncology framing without distinctive differentiation from dozens of similar clinical-stage oncology companies [2]. Community Impact (1/2): The pipeline's focus on MTAP-deleted pancreatic cancer — one of the deadliest malignancies with extremely limited treatment options — addresses genuine unmet medical need, though no specific community programs or access initiatives were identified [1]. Employee Retention (1/2): Women represent over half of the 137-person organization with more than one-third in management/senior leadership roles, and the culture is described as driven by 'urgency, compassion, collaboration, courage, and excellence' [3]. Insider Buying (0/2): No notable open-market insider purchases were identified, and the January 2026 CEO transition from founding CEO Dr. Barbara Weber to Dr. Malte Peters introduces leadership continuity risk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Tango's financial profile reflects its pre-commercial clinical-stage status with both structural strengths and weaknesses. The minimal debt-to-equity of 9.7% and collaboration revenue growth of 48.3% YoY to $62.4 million are strong positives, and the $343.1 million cash position provides runway into 2028 [1][4]. However, all profitability metrics are deeply negative: ROE of -37.2%, profit margin of -162.9%, and negative forward P/E indicating continued substantial losses ahead [4]. The company has zero approved products and revenue is entirely collaboration-based rather than commercial product revenue. The infrastructure score of 4 reflects the mechanical calculation where low debt and strong revenue growth partially offset the zeroed profitability and valuation metrics expected for a pre-revenue biotech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Tango Therapeutics operates with a finite game orientation typical of clinical-stage biotechs, where survival hinges on binary clinical trial outcomes and near-term data readouts rather than long-term organizational resilience. The January 2026 CEO transition from founder Dr. Barbara Weber to Dr. Malte Peters introduces strategic uncertainty, and the company's worth is determined by discrete pipeline events rather than enduring competitive advantages. While fighting cancer is inherently worthy, the company lacks evidence of the rival-acknowledging, trust-building behaviors that characterize infinite game players [3].</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Tango's cause — developing precision therapies for cancer patients with specific genetic vulnerabilities who lack targeted treatment options — is inherently noble and patient-centered, particularly in MTAP-deleted pancreatic cancer [1][2]. However, the mission articulation is standard biotech oncology framing shared by hundreds of clinical-stage companies, without evidence of a distinctive, galvanizing vision that transcends the typical precision medicine narrative.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company demonstrates commitment to diversity with women representing over half of its 137-person workforce and more than one-third in management/leadership roles [3]. The culture is described as emphasizing 'urgency, compassion, collaboration, courage, and excellence,' suggesting intentional values-building. However, the recent CEO transition and small team size create inherent instability, and no public employee engagement or retention metrics are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Tango's leadership publicly acknowledging specific competitors in precision oncology — such as Revolution Medicines, Mirati Therapeutics, or other PRMT5 inhibitor developers — as worthy rivals whose strengths drive Tango's own improvement [1][2]. While Tango has a collaboration with Revolution Medicines, public communications focus on internal scientific differentiation rather than constructive competitive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Tango has expanded beyond its initial PRMT5 focus to include immune evasion (TNG260/CoREST) and brain-penetrant formulations (TNG456), diversifying its pipeline across multiple mechanisms of action and cancer types [1][2]. The CEO transition to Dr. Malte Peters, who brings deep pharmaceutical industry experience from Roche, represents willingness to evolve leadership for the commercial-stage transition ahead.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Tango pursued a SPAC merger in 2021 to fund its novel CRISPR-based drug discovery platform and chose to advance vopimetostat into pancreatic cancer — one of oncology's most lethal and historically difficult indications — demonstrating scientific conviction over commercial safety [1][2]. The willingness to advance three distinct clinical programs simultaneously with a lean 137-person team also reflects bold resource allocation for a small-cap biotech.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Tango Therapeutics is a high-risk, high-reward clinical-stage precision oncology play with first-mover positioning in MTA-cooperative PRMT5 inhibition targeting MTAP-deleted cancers, a genetically defined population representing ~15% of all tumors [1][2]. The lead candidate vopimetostat (TNG462) has shown promising Phase 1/2 data in pancreatic and lung cancer, and the $343.1 million cash position provides runway into 2028 without near-term dilution risk [1]. Collaboration revenue grew 48.3% to $62.4 million in FY2025, and the company beat Q4 2025 EPS estimates by 9.4%, suggesting improving operational discipline [1].</w:t>
      </w:r>
    </w:p>
    <w:p>
      <w:pPr>
        <w:spacing w:after="120"/>
      </w:pPr>
      <w:r>
        <w:rPr>
          <w:rFonts w:ascii="Calibri" w:hAnsi="Calibri"/>
          <w:b w:val="0"/>
          <w:color w:val="3A4A28"/>
          <w:sz w:val="20"/>
        </w:rPr>
        <w:t>The bear case is significant: Tango remains deeply unprofitable with a -162.9% net margin, has zero approved products generating commercial revenue, and faces binary clinical trial risk that could erase a substantial portion of its $2.8 billion market capitalization on negative data [4]. The January 2026 CEO transition introduces execution uncertainty, revenue is entirely collaboration-dependent, and Sustainalytics rates ESG management as 'Weak' with the highest controversy designation [5]. The WATCH rating reflects strong underlying science and funded pipeline offset by a pre-commercial financial profile, finite game orientation, and the irreducible binary risk inherent in clinical-stage biotechs.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Vopimetostat (TNG462) Phase 1/2 clinical data readouts in MTAP-deleted pancreatic and non-small cell lung cancer expected throughout 2026, representing potential de-risking events [1]</w:t>
      </w:r>
    </w:p>
    <w:p>
      <w:pPr>
        <w:spacing w:before="40" w:after="40"/>
        <w:ind w:left="283"/>
      </w:pPr>
      <w:r>
        <w:rPr>
          <w:rFonts w:ascii="Calibri" w:hAnsi="Calibri"/>
          <w:b/>
          <w:color w:val="4A6B25"/>
          <w:sz w:val="20"/>
        </w:rPr>
        <w:t xml:space="preserve">2. </w:t>
      </w:r>
      <w:r>
        <w:rPr>
          <w:rFonts w:ascii="Calibri" w:hAnsi="Calibri"/>
          <w:b w:val="0"/>
          <w:color w:val="3A4A28"/>
          <w:sz w:val="20"/>
        </w:rPr>
        <w:t>TNG456 brain-penetrant PRMT5 inhibitor entering clinical development for glioblastoma, an indication with extremely limited treatment options and high unmet need [2]</w:t>
      </w:r>
    </w:p>
    <w:p>
      <w:pPr>
        <w:spacing w:before="40" w:after="40"/>
        <w:ind w:left="283"/>
      </w:pPr>
      <w:r>
        <w:rPr>
          <w:rFonts w:ascii="Calibri" w:hAnsi="Calibri"/>
          <w:b/>
          <w:color w:val="4A6B25"/>
          <w:sz w:val="20"/>
        </w:rPr>
        <w:t xml:space="preserve">3. </w:t>
      </w:r>
      <w:r>
        <w:rPr>
          <w:rFonts w:ascii="Calibri" w:hAnsi="Calibri"/>
          <w:b w:val="0"/>
          <w:color w:val="3A4A28"/>
          <w:sz w:val="20"/>
        </w:rPr>
        <w:t>$343.1 million cash runway extending into 2028 provides financial stability to advance three clinical programs without dilutive financing pressure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trial risk: negative Phase 1/2 or pivotal data for vopimetostat could devastate the stock given the $2.8 billion market cap on zero commercial product revenue [1][4]</w:t>
      </w:r>
    </w:p>
    <w:p>
      <w:pPr>
        <w:spacing w:before="40" w:after="40"/>
        <w:ind w:left="283"/>
      </w:pPr>
      <w:r>
        <w:rPr>
          <w:rFonts w:ascii="Calibri" w:hAnsi="Calibri"/>
          <w:b/>
          <w:color w:val="4A6B25"/>
          <w:sz w:val="20"/>
        </w:rPr>
        <w:t xml:space="preserve">2. </w:t>
      </w:r>
      <w:r>
        <w:rPr>
          <w:rFonts w:ascii="Calibri" w:hAnsi="Calibri"/>
          <w:b w:val="0"/>
          <w:color w:val="3A4A28"/>
          <w:sz w:val="20"/>
        </w:rPr>
        <w:t>CEO transition in January 2026 from founding CEO Dr. Barbara Weber to Dr. Malte Peters introduces execution and strategic continuity risk at a critical pipeline inflection point [3]</w:t>
      </w:r>
    </w:p>
    <w:p>
      <w:pPr>
        <w:spacing w:before="40" w:after="40"/>
        <w:ind w:left="283"/>
      </w:pPr>
      <w:r>
        <w:rPr>
          <w:rFonts w:ascii="Calibri" w:hAnsi="Calibri"/>
          <w:b/>
          <w:color w:val="4A6B25"/>
          <w:sz w:val="20"/>
        </w:rPr>
        <w:t xml:space="preserve">3. </w:t>
      </w:r>
      <w:r>
        <w:rPr>
          <w:rFonts w:ascii="Calibri" w:hAnsi="Calibri"/>
          <w:b w:val="0"/>
          <w:color w:val="3A4A28"/>
          <w:sz w:val="20"/>
        </w:rPr>
        <w:t>Competitive threat from larger pharma companies and AI-powered drug discovery platforms accelerating rival PRMT5 inhibitor or MTAP-targeted programs in the same patient population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Drug development retains meaningful structural protection from AI disruption — FDA clinical trial requirements, patient safety regulations, and the irreducible complexity of human biology create barriers that AI alone cannot bypass [1]. However, AI-powered drug discovery platforms from competitors like Recursion, Schrodinger, and Insilico Medicine could accelerate rival development timelines and identify competing targets in the MTAP-deleted cancer space faster than traditional CRISPR-based approaches, representing moderate competitive threat [2]. Tango's current moat is its first-mover clinical data, but this advantage could narrow as AI accelerates competitor pipelines in synthetic lethality. AI Opportunity (1/1): Tango's CRISPR-based functional genomics platform is inherently compatible with AI/ML augmentation for target discovery and patient stratification, and integration could strengthen the pipeline's competitive positioning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17</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Tango Therapeutics FY2025 Earnings Release and Q4 2025 Results, ir.tangotx.com, March 2026</w:t>
      </w:r>
    </w:p>
    <w:p>
      <w:pPr>
        <w:spacing w:before="20" w:after="20"/>
        <w:ind w:left="170"/>
      </w:pPr>
      <w:r>
        <w:rPr>
          <w:rFonts w:ascii="Calibri" w:hAnsi="Calibri"/>
          <w:b/>
          <w:color w:val="4A6B25"/>
          <w:sz w:val="15"/>
        </w:rPr>
        <w:t xml:space="preserve">2. </w:t>
      </w:r>
      <w:r>
        <w:rPr>
          <w:rFonts w:ascii="Calibri" w:hAnsi="Calibri"/>
          <w:b w:val="0"/>
          <w:color w:val="3A4A28"/>
          <w:sz w:val="17"/>
        </w:rPr>
        <w:t>Tango Therapeutics Pipeline and Technology Platform — tangotx.com,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Tango Therapeutics CEO Transition and Leadership — Yahoo Finance, tangotx.com, January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TNGX key statistics and financial data,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Sustainalytics — Tango Therapeutics ESG Risk Rating,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