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TOI</w:t>
      </w:r>
      <w:r>
        <w:rPr>
          <w:rFonts w:ascii="Calibri" w:hAnsi="Calibri"/>
          <w:b/>
          <w:color w:val="1A2010"/>
          <w:sz w:val="40"/>
        </w:rPr>
        <w:t xml:space="preserve">  The Oncology Institute, Inc.</w:t>
      </w:r>
    </w:p>
    <w:p>
      <w:pPr>
        <w:spacing w:after="120"/>
      </w:pPr>
      <w:r>
        <w:rPr>
          <w:rFonts w:ascii="Calibri" w:hAnsi="Calibri"/>
          <w:b/>
          <w:color w:val="6E8450"/>
          <w:sz w:val="18"/>
        </w:rPr>
        <w:t>GROWTH SLEEVE · 2026-04-17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The Oncology Institute is a community-based oncology company providing physician services, in-house infusion and specialty pharmacy, clinical trials, and radiation therapy across the United States. TOI operates through three segments: Specialty Pharmacy, Patient Services, and Clinical Trials &amp; Other, serving adult and senior cancer patients through a delegated capitation model and mail-order pharmacy platform.</w:t>
      </w:r>
    </w:p>
    <w:p>
      <w:r>
        <w:rPr>
          <w:rFonts w:ascii="Calibri" w:hAnsi="Calibri"/>
          <w:b/>
          <w:color w:val="6E8450"/>
          <w:sz w:val="18"/>
        </w:rPr>
        <w:t>641 Employees · https://theoncologyinstitute.com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TOI delivered 41.6% YoY revenue growth to $503M in FY2025, driven by the delegated capitation model expansion with nine new capitated contracts adding ~260,000 lives, and pharmacy revenue up 71% YoY in Q4 [1]. The Part D dispensing platform generated nearly $270M in revenue, demonstrating successful business model innovation. AI Deployment (0/2): No evidence of AI-powered products or AI-driven operational efficiencies in TOI's clinical or business operations [2]. Market Share (1/2): TOI is a meaningful player in community oncology but not a market leader; the company operates clinics across the U.S. and is expanding its capitated lives base, but competes against large hospital systems and other oncology networks [1]. Pipeline (2/2): Clear growth visibility with 2026 revenue guidance of $630-650M (25-29% growth), Elevance Health delegation expected to more than double in 2026, and gross margins improving 100-200bps [1]. R&amp;D Intensity (0/1): No meaningful R&amp;D spending; TOI is a clinical services company rather than a technology or drug development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TOI's mission centers on providing high-quality, accessible cancer care in community settings — clear and purposeful but not distinctively articulated beyond standard healthcare company language [4]. The 'Institute of Hope and Innovation' branding suggests intentionality but lacks the depth of a transformative purpose statement. Community Impact (1/2): TOI provides cancer care to underserved communities through its capitated model, which inherently serves patients who might otherwise lack access to oncology specialists; however, no specific charitable programs or foundation activity were identified [1]. Employee Retention (0/2): Glassdoor ratings are poor — only 20% of employees would recommend working at TOI, with culture rated 2.4/5 and career opportunities 2.4/5; reviews cite inexperienced executives and poor planning leading to workforce reductions [2]. Insider Buying (0/2): No evidence of meaningful net insider buying; the company raised $16.5M in a private placement in late 2025, which dilutes existing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TOI demonstrates explosive revenue growth but remains unprofitable. Revenue grew 41.6% YoY to $503M with 2026 guidance of $630-650M, and 3-year revenue CAGR of ~26% [1]. However, profit margin is -12.1%, forward P/E is negative (unprofitable), and the company generated negative operating cash flow of -$24.6M and free cash flow of -$11M [5]. D/E and ROE data are unavailable, but the company carries $104M debt against $34M cash with a current ratio of 1.59 [5]. Adjusted EBITDA guidance for 2026 is $0-9M, suggesting the company is approaching breakeven. Gross margins of 15.2% reflect the low-margin nature of healthcare services, though management expects 100-200bps improvement [1]. Liquidity floor cleared: 1.93M avg vol x $3.54 = $6.8M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TOI demonstrates some infinite-game qualities in its mission to provide accessible cancer care, but the company's operational struggles — workforce reductions, low employee satisfaction, and leadership transitions — suggest a company still finding its footing rather than playing to endure. The shift toward capitated care is a meaningful strategic evolution, but it remains unproven at the profitability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Providing accessible, high-quality cancer care in community settings is a genuine cause that connects TOI's work to something bigger — reducing barriers to oncology treatment for underserved populations. Leadership references this purpose in strategic decisions, particularly the capitation model that aligns incentives with patient outcomes [1][4]. However, the cause hasn't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environment — only 20% would recommend working at TOI, with 2.4/5 culture rating. Reviews describe 'inexperienced' top executives, workforce reductions attributed to poor planning, and suggestions that the CFO and CEO should resign [2]. This describes an organization where employees do not feel safe or valued.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TOI's leadership acknowledging competitors' strengths or framing competition as motivation to improve. The company's language focuses on contract wins and market expansion rather than learning from larger health systems or competitor innovations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TOI has evolved from a traditional fee-for-service oncology practice to a capitated care model with integrated specialty pharmacy, representing a meaningful strategic pivot. The Part D dispensing platform generating $270M and the Elevance Health delegation demonstrate business model flexibility [1]. However, this evolution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Dan Virnich's decision to pivot aggressively toward capitated care — accepting short-term losses for long-term margin improvement — shows willingness to sacrifice near-term results. The company is investing in commercial expansion while still unprofitable, betting on scale economics [1]. However, the private placement dilution and ongoing losses raise questions about whether this is courage or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Oncology Institute is a high-growth community oncology platform that delivered 41.6% revenue growth to $503M in FY2025, guided 2026 revenue of $630-650M (25-29% growth), and is rapidly scaling a delegated capitation model with nine new contracts adding ~260,000 lives in 2025 [1]. The Part D specialty pharmacy platform generated $270M in revenue with pharmacy revenue up 71% in Q4, creating a powerful second growth engine [1]. Elevance Health delegation is expected to more than double in 2026, providing significant organic growth visibility. The company addresses a genuine need — bringing oncology care to community settings where patients would otherwise lack access. Gross margin improvement of 100-200bps and adjusted EBITDA guidance of $0-9M for 2026 suggest an approaching profitability inflection [1].</w:t>
      </w:r>
    </w:p>
    <w:p>
      <w:pPr>
        <w:spacing w:after="120"/>
      </w:pPr>
      <w:r>
        <w:rPr>
          <w:rFonts w:ascii="Calibri" w:hAnsi="Calibri"/>
          <w:b w:val="0"/>
          <w:color w:val="3A4A28"/>
          <w:sz w:val="20"/>
        </w:rPr>
        <w:t>The bear case is significant. TOI remains unprofitable with -12.1% profit margin, negative cash flow, and no clear timeline for sustainable profitability beyond approaching EBITDA breakeven [5]. The $350M market cap with $104M debt and only $34M cash creates balance sheet fragility — the $16.5M private placement signals ongoing capital needs [3]. Glassdoor ratings are among the worst in this screen (20% recommend, 2.4/5 culture), suggesting deep organizational dysfunction that could impair clinical quality and provider recruitment [2]. The capitated model carries actuarial risk — if patient acuity exceeds expectations, TOI absorbs the cost. At $3.54/share, the stock trades as a speculative growth play where execution risk is paramount; the company must prove it can convert rapid revenue growth into sustainable margins before cash runs out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Elevance Health delegation expected to more than double in 2026, driving capitated revenue growth with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$0-9M represents potential first full year of positive EBITDA, validating the capitation model [1]</w:t>
      </w:r>
    </w:p>
    <w:p>
      <w:pPr>
        <w:spacing w:before="40" w:after="40"/>
        <w:ind w:left="283"/>
      </w:pPr>
      <w:r>
        <w:rPr>
          <w:rFonts w:ascii="Calibri" w:hAnsi="Calibri"/>
          <w:b/>
          <w:color w:val="4A6B25"/>
          <w:sz w:val="20"/>
        </w:rPr>
        <w:t xml:space="preserve">3. </w:t>
      </w:r>
      <w:r>
        <w:rPr>
          <w:rFonts w:ascii="Calibri" w:hAnsi="Calibri"/>
          <w:b w:val="0"/>
          <w:color w:val="3A4A28"/>
          <w:sz w:val="20"/>
        </w:rPr>
        <w:t>Part D specialty pharmacy revenue approaching $350M+ run rate with 71% Q4 growth, creating a high-growth second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-12.1% margin and negative cash flow; $34M cash against $104M debt creates real liquidity risk if EBITDA breakeven is delayed [5]</w:t>
      </w:r>
    </w:p>
    <w:p>
      <w:pPr>
        <w:spacing w:before="40" w:after="40"/>
        <w:ind w:left="283"/>
      </w:pPr>
      <w:r>
        <w:rPr>
          <w:rFonts w:ascii="Calibri" w:hAnsi="Calibri"/>
          <w:b/>
          <w:color w:val="4A6B25"/>
          <w:sz w:val="20"/>
        </w:rPr>
        <w:t xml:space="preserve">2. </w:t>
      </w:r>
      <w:r>
        <w:rPr>
          <w:rFonts w:ascii="Calibri" w:hAnsi="Calibri"/>
          <w:b w:val="0"/>
          <w:color w:val="3A4A28"/>
          <w:sz w:val="20"/>
        </w:rPr>
        <w:t>Severe organizational dysfunction — 20% Glassdoor recommend rate and 2.4/5 culture score could impair physician recruitment and clinical quality [2]</w:t>
      </w:r>
    </w:p>
    <w:p>
      <w:pPr>
        <w:spacing w:before="40" w:after="40"/>
        <w:ind w:left="283"/>
      </w:pPr>
      <w:r>
        <w:rPr>
          <w:rFonts w:ascii="Calibri" w:hAnsi="Calibri"/>
          <w:b/>
          <w:color w:val="4A6B25"/>
          <w:sz w:val="20"/>
        </w:rPr>
        <w:t xml:space="preserve">3. </w:t>
      </w:r>
      <w:r>
        <w:rPr>
          <w:rFonts w:ascii="Calibri" w:hAnsi="Calibri"/>
          <w:b w:val="0"/>
          <w:color w:val="3A4A28"/>
          <w:sz w:val="20"/>
        </w:rPr>
        <w:t>Capitated care actuarial risk — if cancer patient acuity exceeds actuarial assumptions, TOI bears the financial cost, potentially widening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TOI's core business — in-person oncology physician services, infusion treatments, and pharmacy dispensing — involves physical patient care that AI cannot substitute [2]. Cancer treatment requires hands-on clinical judgment, chemotherapy administration, and direct physician-patient relationships. The regulatory environment (CMS, state medical boards) creates structural barriers to AI displacement. However, AI is advancing in cancer diagnostics, treatment planning, and clinical trial matching, which could disrupt TOI's clinical trial segment and require investment to remain competitive [2]. AI Opportunity (1/1): AI-powered oncology tools (e.g., Onc.AI) for treatment optimization and real-world data analytics could enhance TOI's clinical operations and improve outcomes, creating incremental value for the capitated model where better patient outcomes reduce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Oncology Institute Q4/FY2025 Earnings Release and 2026 Guidance — $503M revenue, 41.6% growth, $630-650M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The Oncology Institute, 20% recommend rate, 2.4/5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TOI $16.5M private placement announcement; Levi &amp; Korsinsky shareholder investigation</w:t>
      </w:r>
    </w:p>
    <w:p>
      <w:pPr>
        <w:spacing w:before="20" w:after="20"/>
        <w:ind w:left="170"/>
      </w:pPr>
      <w:r>
        <w:rPr>
          <w:rFonts w:ascii="Calibri" w:hAnsi="Calibri"/>
          <w:b/>
          <w:color w:val="4A6B25"/>
          <w:sz w:val="15"/>
        </w:rPr>
        <w:t xml:space="preserve">4. </w:t>
      </w:r>
      <w:r>
        <w:rPr>
          <w:rFonts w:ascii="Calibri" w:hAnsi="Calibri"/>
          <w:b w:val="0"/>
          <w:color w:val="3A4A28"/>
          <w:sz w:val="17"/>
        </w:rPr>
        <w:t>The Oncology Institute corporate website — leadership and mission statement,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TOI,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