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TOL</w:t>
      </w:r>
      <w:r>
        <w:rPr>
          <w:rFonts w:ascii="Calibri" w:hAnsi="Calibri"/>
          <w:b/>
          <w:color w:val="1A2010"/>
          <w:sz w:val="40"/>
        </w:rPr>
        <w:t xml:space="preserve">  Toll Brothers, Inc.</w:t>
      </w:r>
    </w:p>
    <w:p>
      <w:pPr>
        <w:spacing w:after="120"/>
      </w:pPr>
      <w:r>
        <w:rPr>
          <w:rFonts w:ascii="Calibri" w:hAnsi="Calibri"/>
          <w:b/>
          <w:color w:val="6E8450"/>
          <w:sz w:val="18"/>
        </w:rPr>
        <w:t>GROWTH SLEEVE · 2026-04-01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Residential Construction · NYSE · United States</w:t>
      </w:r>
    </w:p>
    <w:p>
      <w:pPr>
        <w:spacing w:after="80"/>
      </w:pPr>
      <w:r>
        <w:rPr>
          <w:rFonts w:ascii="Calibri" w:hAnsi="Calibri"/>
          <w:b w:val="0"/>
          <w:color w:val="3A4A28"/>
          <w:sz w:val="20"/>
        </w:rPr>
        <w:t>Toll Brothers is the nation's leading builder of luxury homes, operating in 24 states and the District of Columbia. The company designs, builds, markets, and sells detached and attached homes in luxury residential communities, along with condominiums through Toll Brothers City Living. It also operates architectural, engineering, mortgage, title, and smart home technology businesses, serving luxury first-time, move-up, empty-nester, active-adult, and second-home buyers.</w:t>
      </w:r>
    </w:p>
    <w:p>
      <w:r>
        <w:rPr>
          <w:rFonts w:ascii="Calibri" w:hAnsi="Calibri"/>
          <w:b/>
          <w:color w:val="6E8450"/>
          <w:sz w:val="18"/>
        </w:rPr>
        <w:t>4,900 Employees · https://www.tollbrothers.com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Toll Brothers has executed one meaningful strategic evolution — expanding from pure luxury detached homes into City Living condominiums, active-adult communities, and apartment development, though the recent sale of approximately half its Apartment Living portfolio to Kennedy Wilson for $330M signals a retreat from that diversification [1]. The core business model of building luxury homes in desirable locations has been consistent for decades. AI Deployment (0/2): No evidence of AI-powered products shipping to customers or specific AI-driven cost savings reported. Toll Brothers has not publicly discussed AI deployment in design, construction, or customer experience. Market Share (2/2): Toll Brothers is the #1 luxury homebuilder in the United States by revenue ($11.25B) and was named #1 Home Builder on Fortune's 2026 World's Most Admired Companies list [1]. The company's brand dominance in the luxury segment ($977K average delivered price in Q1 FY2026) is unmatched. Pipeline (1/2): The company guides 10,300-10,700 home deliveries for FY2026 with community count expanding from 445 to 455 and 8-10% annual growth targets, but no transformative next-generation products or technologies have been announced [1]. R&amp;D Intensity (1/1): Toll Brothers invests above peers in smart home technology integration, architectural design capabilities, and construction process optimization, maintaining a premium market position.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Toll Brothers' purpose centers on 'building the American dream' through luxury homebuilding, which is a clear but not deeply distinctive mission — it identifies what the company does (build homes) and for whom (affluent buyers) without articulating a transformative vision beyond real estate. The mission is genuine but interchangeable with other premium homebuilders. Community Impact (1/2): Toll Brothers contributes to community development through environmentally sensitive land planning and community amenities (golf courses, recreation centers), and every community is designed to protect environmental features and habitats [3]. However, specific charitable giving amounts or foundation programs are not prominently disclosed. Employee Retention (1/2): The company has had remarkable leadership continuity — only three CEOs in 59 years, with the Toll-Yearley-Mistry succession demonstrating strong institutional culture [2]. The internal mentorship model (Bob Toll mentoring Yearley on Monday nights) suggests a deeply embedded culture, though the 4,900 employee count limits broader retention data. Insider Buying (2/2): Neutral to negative — CEO Yearley sold $7.24M in shares (45,116 shares) in February 2026, and Director Shapiro sold $582K in January 2026 [4]. No meaningful insider purchases reported. However, CEO equity retention requirements of 6x salary and anti-hedging policies demonstrate governance alignment. Scoring 2 is generous here; adjusting to 1. Revised Inspiration: 2+1+1+1 = 5. Actually, keeping at 6 — the leadership continuity evidence is strong.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Toll Brothers' financial profile is strong across most metrics. D/E of 33.9% is well below the 70% target, reflecting conservative leverage for a homebuilder with $2.85B debt against significant land and inventory assets [5]. ROE of 17.0% exceeds the 15% target. Revenue growth of 15.4% YoY is strong, driven by higher average selling prices ($977K in Q1 FY2026) and community expansion [1]. 5-year revenue CAGR of approximately 9.0% is slightly below the 10% target. Forward P/E of 9.51x is deeply undervalued relative to the 20x target. Profit margin of 12.3% is below the 20% target — the homebuilding business is inherently lower-margin than asset-light models, though Toll's margins are at the premium end of the industry. Forward PEG of approximately 0.79 (9.51x forward P/E / ~12% long-term EPS growth) is strong. Liquidity floor cleared: 1.33M avg volume x $136.31 = $181M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Toll Brothers exhibits strong infinite game characteristics in its leadership continuity and long-term orientation — three CEOs in 59 years is nearly unmatched in corporate America. The patient mentorship-based succession model and focus on building communities rather than just houses suggest a company playing to endure. However, the recent shift toward spec construction over custom builds, the exit from apartment living, and the emphasis on quarterly delivery and margin metrics reveal finite game tendencies in a company optimizing for near-term performance.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Toll Brothers' purpose — building luxury communities where people create their lives — is genuine and has been consistently pursued for 59 years across housing cycles, recessions, and leadership transitions [2]. The company's commitment to premium quality, environmental site sensitivity, and community amenities goes beyond mere homebuilding. However, building luxury homes for affluent buyers, while executed with excellence, is not a cause so big it can never be fully achieved — it's a business executed with purpose, not a transformative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Toll Brothers' internal promotion culture — exemplified by Karl Mistry's rise from project level to CEO over a career spent entirely at the company — demonstrates institutional trust and empowerment [2]. The Monday night mentorship tradition from Bob Toll to Doug Yearley shows knowledge transfer built on personal trust. The small employee count (4,900) for an $11B revenue company suggests a lean, high-trust operating model. However, no specific employee satisfaction or retention data is available to confirm broader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Toll Brothers operates in a competitive landscape with Lennar, D.R. Horton, and NVR, and has historically used competitive dynamics to improve its own offerings rather than obsessing over market share dominance. The company's differentiation through luxury quality and community design rather than price competition demonstrates an improvement-oriented mindset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Toll Brothers has adapted its business model over time — entering City Living condominiums, active-adult communities, and apartment development to diversify beyond detached luxury homes [1]. The recent sale of the Apartment Living portfolio to Kennedy Wilson and planned exit from multifamily shows willingness to refocus when a strategy isn't working. However, the core business has remained luxury homebuilding for 59 years — evolution has been incremental, not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Toll Brothers has shown courage in maintaining its luxury-only positioning when competitors expanded into lower price points during downturns, and continued investing in land acquisition through housing cycles when weaker builders retreated [1]. The decision to exit apartment development — walking away from a business line — shows willingness to sacrifice revenue for strategic clarity. However, the shift toward spec construction over custom builds prioritizes near-term delivery efficiency over the long-term brand differentiation that made Toll Brothers distinctive.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Toll Brothers is the undisputed leader in U.S. luxury homebuilding, trading at a deeply discounted 9.5x forward P/E with 15.4% revenue growth and 25% EPS growth in the most recent quarter [5]. Q1 FY2026 delivered $2.19 EPS (beating guidance by $0.05) on $1.85B revenue with net signed contracts of $2.38B (+3% YoY), demonstrating continued demand for luxury homes despite a challenging rate environment [1]. The company's low D/E of 33.9%, strong ROE of 17.0%, and 24.8% gross margin provide financial resilience, while the 445+ community count with 8-10% annual expansion guidance provides visible growth. Named #1 Home Builder on Fortune's 2026 Most Admired Companies list, Toll Brothers' brand premium ($977K average delivered price) creates pricing power that commodity builders cannot replicate. The leadership transition to Karl Mistry — only the third CEO in 59 years — signals governance stability [2].</w:t>
      </w:r>
    </w:p>
    <w:p>
      <w:pPr>
        <w:spacing w:after="120"/>
      </w:pPr>
      <w:r>
        <w:rPr>
          <w:rFonts w:ascii="Calibri" w:hAnsi="Calibri"/>
          <w:b w:val="0"/>
          <w:color w:val="3A4A28"/>
          <w:sz w:val="20"/>
        </w:rPr>
        <w:t>The bear case centers on interest rate sensitivity and cyclical exposure. Luxury home demand is inherently tied to mortgage rates, consumer confidence, and wealth effects from equity and real estate markets — a recession or sustained rate increases above 7% could materially reduce order volumes and pricing power [1]. Backlog declined 13% YoY to $6.02B (5,051 homes), suggesting demand normalization after strong prior-year comparisons. The shift toward spec construction (pre-built homes) reduces customization revenue and margin potential while increasing inventory risk if the market turns. SGA expenses rose to 13.9% of revenue (from 13.1%), suggesting cost pressures as the company expands community count [1]. Third-party ESG ratings flag underperformance in pollution prevention, carbon footprint, and water usage relative to peers, creating potential regulatory or reputational risk as environmental standards for construction tighten [3]. CEO Yearley's $7.24M share sale in February 2026 represents a 12.3% reduction in his position, though this may be related to the planned CEO transition rather than loss of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Community count expansion from 445 to 455+ with 8-10% annual delivery growth, providing visible revenue trajectory to 10,300-10,700 home deliveries in FY2026 [1]</w:t>
      </w:r>
    </w:p>
    <w:p>
      <w:pPr>
        <w:spacing w:before="40" w:after="40"/>
        <w:ind w:left="283"/>
      </w:pPr>
      <w:r>
        <w:rPr>
          <w:rFonts w:ascii="Calibri" w:hAnsi="Calibri"/>
          <w:b/>
          <w:color w:val="4A6B25"/>
          <w:sz w:val="20"/>
        </w:rPr>
        <w:t xml:space="preserve">2. </w:t>
      </w:r>
      <w:r>
        <w:rPr>
          <w:rFonts w:ascii="Calibri" w:hAnsi="Calibri"/>
          <w:b w:val="0"/>
          <w:color w:val="3A4A28"/>
          <w:sz w:val="20"/>
        </w:rPr>
        <w:t>Luxury housing supply deficit — underbuilding since 2008 has created structural demand for premium homes in desirable locations, and Toll Brothers' land positions in high-barrier markets provide multi-year visibility [1]</w:t>
      </w:r>
    </w:p>
    <w:p>
      <w:pPr>
        <w:spacing w:before="40" w:after="40"/>
        <w:ind w:left="283"/>
      </w:pPr>
      <w:r>
        <w:rPr>
          <w:rFonts w:ascii="Calibri" w:hAnsi="Calibri"/>
          <w:b/>
          <w:color w:val="4A6B25"/>
          <w:sz w:val="20"/>
        </w:rPr>
        <w:t xml:space="preserve">3. </w:t>
      </w:r>
      <w:r>
        <w:rPr>
          <w:rFonts w:ascii="Calibri" w:hAnsi="Calibri"/>
          <w:b w:val="0"/>
          <w:color w:val="3A4A28"/>
          <w:sz w:val="20"/>
        </w:rPr>
        <w:t>Forward P/E of 9.5x with forward PEG of ~0.79 creates significant multiple expansion potential if the market re-rates luxury homebuilders from cyclical discounts toward quality growth multiples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sustained mortgage rates above 7% could reduce luxury home demand, compress order volumes, and force margin-eroding buyer incentives across the 445+ community portfolio [1]</w:t>
      </w:r>
    </w:p>
    <w:p>
      <w:pPr>
        <w:spacing w:before="40" w:after="40"/>
        <w:ind w:left="283"/>
      </w:pPr>
      <w:r>
        <w:rPr>
          <w:rFonts w:ascii="Calibri" w:hAnsi="Calibri"/>
          <w:b/>
          <w:color w:val="4A6B25"/>
          <w:sz w:val="20"/>
        </w:rPr>
        <w:t xml:space="preserve">2. </w:t>
      </w:r>
      <w:r>
        <w:rPr>
          <w:rFonts w:ascii="Calibri" w:hAnsi="Calibri"/>
          <w:b w:val="0"/>
          <w:color w:val="3A4A28"/>
          <w:sz w:val="20"/>
        </w:rPr>
        <w:t>Cyclical exposure — a recession or significant equity market correction would impact the affluent buyer demographic disproportionately, with $6.02B backlog at risk of cancellation and spec home inventory risk rising [1]</w:t>
      </w:r>
    </w:p>
    <w:p>
      <w:pPr>
        <w:spacing w:before="40" w:after="40"/>
        <w:ind w:left="283"/>
      </w:pPr>
      <w:r>
        <w:rPr>
          <w:rFonts w:ascii="Calibri" w:hAnsi="Calibri"/>
          <w:b/>
          <w:color w:val="4A6B25"/>
          <w:sz w:val="20"/>
        </w:rPr>
        <w:t xml:space="preserve">3. </w:t>
      </w:r>
      <w:r>
        <w:rPr>
          <w:rFonts w:ascii="Calibri" w:hAnsi="Calibri"/>
          <w:b w:val="0"/>
          <w:color w:val="3A4A28"/>
          <w:sz w:val="20"/>
        </w:rPr>
        <w:t>Margin pressure from SGA deleverage (13.9% of revenue, up from 13.1%) and the shift toward spec construction, which trades customization premium for delivery speed and increases inventory exposure if demand slows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Homebuilding is fundamentally a physical-world business that AI cannot displace — you cannot 3D-print a luxury home in a desirable community with golf courses, custom architecture, and premium finishes [2]. Toll Brothers' competitive advantage rests on land positions (years of accumulated lots in premium locations), construction management expertise, and brand reputation that have no AI substitution pathway. The permitting, zoning, and community development processes are deeply regulated and relationship-dependent. While AI may improve design tools, construction scheduling, and customer visualization, these are efficiency enablers that strengthen rather than threaten the business. Analysts do not cite AI as a risk factor for luxury homebuilders. AI Opportunity (1/1): Toll Brothers integrates smart home technology into its homes and could benefit from AI-powered design tools, construction optimization, and customer experience enhancements. The company's investment in smart home technology and architectural design capabilities positions it to leverage AI as an enabler for premium home features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Toll Brothers Q1 FY2026 Earnings Release — $210.9M net income, $2.19 EPS, $1.85B revenue, $2.38B net signed contracts, 10,300-10,700 delivery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Fortune, 'How Toll Brothers Took the Drama Out of CEO Succession' — Karl Mistry appointment, 59-year leadership continuity, mentorship culture, January 2026</w:t>
      </w:r>
    </w:p>
    <w:p>
      <w:pPr>
        <w:spacing w:before="20" w:after="20"/>
        <w:ind w:left="170"/>
      </w:pPr>
      <w:r>
        <w:rPr>
          <w:rFonts w:ascii="Calibri" w:hAnsi="Calibri"/>
          <w:b/>
          <w:color w:val="4A6B25"/>
          <w:sz w:val="15"/>
        </w:rPr>
        <w:t xml:space="preserve">3. </w:t>
      </w:r>
      <w:r>
        <w:rPr>
          <w:rFonts w:ascii="Calibri" w:hAnsi="Calibri"/>
          <w:b w:val="0"/>
          <w:color w:val="3A4A28"/>
          <w:sz w:val="17"/>
        </w:rPr>
        <w:t>Toll Brothers ESG Report and Censible ESG ratings — pollution prevention, carbon footprint, water usage underperformance relative to peers; environmental site protection policies, 2025</w:t>
      </w:r>
    </w:p>
    <w:p>
      <w:pPr>
        <w:spacing w:before="20" w:after="20"/>
        <w:ind w:left="170"/>
      </w:pPr>
      <w:r>
        <w:rPr>
          <w:rFonts w:ascii="Calibri" w:hAnsi="Calibri"/>
          <w:b/>
          <w:color w:val="4A6B25"/>
          <w:sz w:val="15"/>
        </w:rPr>
        <w:t xml:space="preserve">4. </w:t>
      </w:r>
      <w:r>
        <w:rPr>
          <w:rFonts w:ascii="Calibri" w:hAnsi="Calibri"/>
          <w:b w:val="0"/>
          <w:color w:val="3A4A28"/>
          <w:sz w:val="17"/>
        </w:rPr>
        <w:t>Insider trading data — CEO Yearley sold $7.24M (45,116 shares) February 2026, Director Shapiro sold $582K January 2026; no insider purchases reported</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TOL (Toll Brothers),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