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TOST</w:t>
      </w:r>
      <w:r>
        <w:rPr>
          <w:rFonts w:ascii="Calibri" w:hAnsi="Calibri"/>
          <w:b/>
          <w:color w:val="1A2010"/>
          <w:sz w:val="40"/>
        </w:rPr>
        <w:t xml:space="preserve">  Toast, Inc.</w:t>
      </w:r>
    </w:p>
    <w:p>
      <w:pPr>
        <w:spacing w:after="120"/>
      </w:pPr>
      <w:r>
        <w:rPr>
          <w:rFonts w:ascii="Calibri" w:hAnsi="Calibri"/>
          <w:b/>
          <w:color w:val="6E8450"/>
          <w:sz w:val="18"/>
        </w:rPr>
        <w:t>GROWTH SLEEVE · 2026-03-27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Toast Inc. is a cloud-based, all-in-one digital technology platform purpose-built for the restaurant community. The platform provides point-of-sale, payments, online ordering, delivery management, payroll, marketing, and AI-powered analytics across 164,000 restaurant locations. Founded by MIT graduates in 2011 and headquartered in Boston.</w:t>
      </w:r>
    </w:p>
    <w:p>
      <w:r>
        <w:rPr>
          <w:rFonts w:ascii="Calibri" w:hAnsi="Calibri"/>
          <w:b/>
          <w:color w:val="6E8450"/>
          <w:sz w:val="18"/>
        </w:rPr>
        <w:t>6,500 Employees · https://www.pos.toasttab.com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 was named to Fast Company's World's Most Innovative Companies list for 2026, reflecting its platform's comprehensive integration of payments, operations, and AI for restaurants [1]. The company's collaboration with Coca-Cola on AI-powered menu optimization, Toast IQ analytics suite, and voice AI experiments for restaurant service demonstrate frontier innovation in a historically analog industry [2]. Strategic partnerships with American Express (Resy/Tock integration), Uber Direct (delivery/advertising), and the expansion to bars, pizzerias, and membership models show continuous platform innovation. The 30,000 net new location adds in 2025 validate product-market fit.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Toast's mission as a purpose-built restaurant technology platform creates genuine alignment between the company and its stakeholder community of restaurant owners, operators, and staff. The January 2026 CEO transition from co-founder Aman Narang to Chris Comparato was smooth, and Narang's vision for AI-enabled restaurants has been widely embraced [2]. The company's support for non-native English-speaking operators and SMB-focused product development reflects inclusive mission execution. However, the ISS Governance QualityScore of 8/10 (elevated risk) and Shareholder Rights score of 10/10 (worst decile) flag governance concerns from the dual-class share structure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 delivers exceptional financial metrics for a high-growth platform: revenue grew 22% YoY to $6.15B with a 31% 3-year CAGR, ROE of 18.6% exceeds the 15% target, and the forward P/E of 16.2x is remarkably reasonable for this growth profile [4]. D/E of just 0.9% represents near-zero leverage, and the company achieved 34% adjusted EBITDA margin with 80% SaaS gross margins. ARR exceeded $2B, and the 5.6% GAAP profit margin, while thin, represents Toast's first sustained profitability — a major milestone for the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Toast demonstrates strong infinite-game qualities through its decade-long commitment to building the definitive restaurant technology platform, founder-led culture prioritizing the restaurant community, and willingness to invest in long-term platform capabilities over short-term profit extraction. The smooth CEO transition and continued mission alignment suggest institutional strength, though the dual-class share structure creates governance concerns.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Toast's purpose as a technology partner for the restaurant community — one of the most challenging small business sectors — represents a genuine and specific just cause. The platform's expansion to serve non-native English-speaking operators and small-format restaurants (bars, pizzerias) demonstrates inclusive mission extension [2]. The 164,000 locations served validate that the cause resonates with the community.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Toast's 6,500 employees benefit from a founder-influenced culture (though co-founder Narang recently transitioned to a new role), and the company's ESG reporting covers health, well-being, career growth, and diversity metrics [3]. The smooth CEO transition to Chris Comparato suggests institutional maturity. However, the dual-class share structure limits employee and public shareholder governance influence.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 competes against Square (Block), Lightspeed, Clover (Fiserv), and vertical SaaS competitors, actively learning from their product strategies and pricing models. The American Express and Uber partnerships represent competitive responses to rivals' ecosystem strategies, and the expansion into non-restaurant verticals (bars, membership) responds to competitor moves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Toast's evolution from a single-product POS system to an all-in-one platform spanning payments, payroll, marketing, delivery, and AI analytics demonstrates sustained existential flexibility over 15 years [1]. The international expansion and new vertical launches in 2026 show continued willingness to redefine scope.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Toast has shown courage in investing heavily in AI features and platform expansion while the restaurant industry faces economic headwinds. The CEO transition mid-growth represents a bold governance decision. However, the dual-class share structure (ISS Shareholder Rights score 10/10) represents an unwillingness to share power with public shareholders, limiting courage in governance terms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Toast is the dominant restaurant technology platform with exceptional unit economics: 22% revenue growth, 31% 3-year CAGR, near-zero debt, 18.6% ROE, 80% SaaS gross margins, and a forward P/E of just 16.2x — remarkable for a platform business adding 30,000 net new locations annually [1][4]. The $2B+ ARR, 164,000 locations, and expanding TAM through international markets, new verticals (bars, pizzerias), and AI-powered features (Toast IQ, voice AI, menu optimization) provide a long growth runway. The Fast Company 'Most Innovative' recognition for 2026 and strategic partnerships with American Express and Uber validate the platform's competitive positioning [1]. Toast has achieved its first sustained GAAP profitability, removing a key bear thesis.</w:t>
      </w:r>
    </w:p>
    <w:p>
      <w:pPr>
        <w:spacing w:after="120"/>
      </w:pPr>
      <w:r>
        <w:rPr>
          <w:rFonts w:ascii="Calibri" w:hAnsi="Calibri"/>
          <w:b w:val="0"/>
          <w:color w:val="3A4A28"/>
          <w:sz w:val="20"/>
        </w:rPr>
        <w:t>The bear case focuses on the thin 5.6% GAAP profit margin and 47x trailing P/E, which leave limited margin for error if restaurant spending slows in an economic downturn — Toast's revenue is ultimately tied to restaurant transaction volume, which is cyclical [4]. The ISS Governance QualityScore of 8/10 with a worst-decile Shareholder Rights score (10/10) reflects dual-class share structure risk that limits public shareholder influence [3]. The CEO transition from founder Narang to Comparato introduces execution risk during a critical scaling phase. Competition from Square, Clover, and emerging AI-native restaurant tools could pressure pricing and market share. International expansion is early-stage and may require significant investment before generating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market expansion accelerating faster than prior core segments, potentially adding 10,000+ net new locations annually from non-US markets [2]</w:t>
      </w:r>
    </w:p>
    <w:p>
      <w:pPr>
        <w:spacing w:before="40" w:after="40"/>
        <w:ind w:left="283"/>
      </w:pPr>
      <w:r>
        <w:rPr>
          <w:rFonts w:ascii="Calibri" w:hAnsi="Calibri"/>
          <w:b/>
          <w:color w:val="4A6B25"/>
          <w:sz w:val="20"/>
        </w:rPr>
        <w:t xml:space="preserve">2. </w:t>
      </w:r>
      <w:r>
        <w:rPr>
          <w:rFonts w:ascii="Calibri" w:hAnsi="Calibri"/>
          <w:b w:val="0"/>
          <w:color w:val="3A4A28"/>
          <w:sz w:val="20"/>
        </w:rPr>
        <w:t>Toast IQ and AI-powered features driving ARPU expansion as existing restaurants adopt higher-tier products, improving the 5.6% profit margin toward double digits</w:t>
      </w:r>
    </w:p>
    <w:p>
      <w:pPr>
        <w:spacing w:before="40" w:after="40"/>
        <w:ind w:left="283"/>
      </w:pPr>
      <w:r>
        <w:rPr>
          <w:rFonts w:ascii="Calibri" w:hAnsi="Calibri"/>
          <w:b/>
          <w:color w:val="4A6B25"/>
          <w:sz w:val="20"/>
        </w:rPr>
        <w:t xml:space="preserve">3. </w:t>
      </w:r>
      <w:r>
        <w:rPr>
          <w:rFonts w:ascii="Calibri" w:hAnsi="Calibri"/>
          <w:b w:val="0"/>
          <w:color w:val="3A4A28"/>
          <w:sz w:val="20"/>
        </w:rPr>
        <w:t>New vertical expansion (bars, pizzerias, membership) broadening TAM beyond traditional full-service restaurants, supported by the Uber and American Express partnerships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Restaurant industry cyclicality — economic downturn or consumer spending weakness would directly compress Toast's transaction-based revenue and net new location additions</w:t>
      </w:r>
    </w:p>
    <w:p>
      <w:pPr>
        <w:spacing w:before="40" w:after="40"/>
        <w:ind w:left="283"/>
      </w:pPr>
      <w:r>
        <w:rPr>
          <w:rFonts w:ascii="Calibri" w:hAnsi="Calibri"/>
          <w:b/>
          <w:color w:val="4A6B25"/>
          <w:sz w:val="20"/>
        </w:rPr>
        <w:t xml:space="preserve">2. </w:t>
      </w:r>
      <w:r>
        <w:rPr>
          <w:rFonts w:ascii="Calibri" w:hAnsi="Calibri"/>
          <w:b w:val="0"/>
          <w:color w:val="3A4A28"/>
          <w:sz w:val="20"/>
        </w:rPr>
        <w:t>Governance risk from dual-class share structure — ISS Shareholder Rights score of 10/10 (worst decile) limits public shareholder rights and could deter institutional investors [3]</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Chris Comparato's January 2026 appointment coincides with critical scaling decisions, and any strategic pivot from Narang's vision could disrupt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enabler for Toast — the platform leverages AI for menu optimization (Coca-Cola partnership), scheduling automation, inventory management, customer analytics (Toast IQ), and voice AI experiments for table service [2]. Toast's 164,000-location data flywheel provides proprietary training data for restaurant-specific AI models that competitors cannot easily replicate. The platform's deep integration into restaurant operations (POS, payments, payroll, ordering) creates high switching costs that protect against AI-driven disruption from new entrants. The primary risk is that generalized AI tools could reduce Toast's AI feature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Toast — Named to Fast Company's Most Innovative Companies 2026; Toast Q4 2025 Financial Results</w:t>
      </w:r>
    </w:p>
    <w:p>
      <w:pPr>
        <w:spacing w:before="20" w:after="20"/>
        <w:ind w:left="170"/>
      </w:pPr>
      <w:r>
        <w:rPr>
          <w:rFonts w:ascii="Calibri" w:hAnsi="Calibri"/>
          <w:b/>
          <w:color w:val="4A6B25"/>
          <w:sz w:val="15"/>
        </w:rPr>
        <w:t xml:space="preserve">2. </w:t>
      </w:r>
      <w:r>
        <w:rPr>
          <w:rFonts w:ascii="Calibri" w:hAnsi="Calibri"/>
          <w:b w:val="0"/>
          <w:color w:val="3A4A28"/>
          <w:sz w:val="17"/>
        </w:rPr>
        <w:t>Semafor — 'Toast CEO Aman Narang on the AI-enabled restaurants of the future'; Toast Q4 2025 Earnings Call Transcript</w:t>
      </w:r>
    </w:p>
    <w:p>
      <w:pPr>
        <w:spacing w:before="20" w:after="20"/>
        <w:ind w:left="170"/>
      </w:pPr>
      <w:r>
        <w:rPr>
          <w:rFonts w:ascii="Calibri" w:hAnsi="Calibri"/>
          <w:b/>
          <w:color w:val="4A6B25"/>
          <w:sz w:val="15"/>
        </w:rPr>
        <w:t xml:space="preserve">3. </w:t>
      </w:r>
      <w:r>
        <w:rPr>
          <w:rFonts w:ascii="Calibri" w:hAnsi="Calibri"/>
          <w:b w:val="0"/>
          <w:color w:val="3A4A28"/>
          <w:sz w:val="17"/>
        </w:rPr>
        <w:t>ISS Governance QualityScore for Toast, Inc.; Toast ESG Overview and Reports</w:t>
      </w:r>
    </w:p>
    <w:p>
      <w:pPr>
        <w:spacing w:before="20" w:after="20"/>
        <w:ind w:left="170"/>
      </w:pPr>
      <w:r>
        <w:rPr>
          <w:rFonts w:ascii="Calibri" w:hAnsi="Calibri"/>
          <w:b/>
          <w:color w:val="4A6B25"/>
          <w:sz w:val="15"/>
        </w:rPr>
        <w:t xml:space="preserve">4. </w:t>
      </w:r>
      <w:r>
        <w:rPr>
          <w:rFonts w:ascii="Calibri" w:hAnsi="Calibri"/>
          <w:b w:val="0"/>
          <w:color w:val="3A4A28"/>
          <w:sz w:val="17"/>
        </w:rPr>
        <w:t>Yahoo Finance — TOST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