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TOVX</w:t>
      </w:r>
      <w:r>
        <w:rPr>
          <w:rFonts w:ascii="Calibri" w:hAnsi="Calibri"/>
          <w:b/>
          <w:color w:val="1A2010"/>
          <w:sz w:val="40"/>
        </w:rPr>
        <w:t xml:space="preserve">  Theriva Biologics,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2026-03-27 · Inspire: 28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Theriva Biologics is a clinical-stage biopharmaceutical company developing oncolytic virus therapeutics for cancer. Its lead candidate VCN-01 (zabetadenovir) targets pancreatic ductal adenocarcinoma and retinoblastoma, with the FDA granting positive End-of-Phase 2 feedback for a Phase 3 PDAC trial in March 2026.</w:t>
      </w:r>
    </w:p>
    <w:p>
      <w:r>
        <w:rPr>
          <w:rFonts w:ascii="Calibri" w:hAnsi="Calibri"/>
          <w:b/>
          <w:color w:val="6E8450"/>
          <w:sz w:val="18"/>
        </w:rPr>
        <w:t>15 Employees · https://therivabio.com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VCN-01 represents a differentiated oncolytic virus approach to pancreatic cancer — one of the deadliest malignancies with a 12% five-year survival rate — with positive VIRAGE Phase 2b data showing improved OS, PFS, and DoR [1]. The FDA's positive End-of-Phase 2 feedback (March 23, 2026) and EMA CHMP scientific advice supporting the Phase 3 design validate the clinical approach [1]. Next-generation VCN-12 shows higher tumor killing and hyaluronidase activity in preclinical models, demonstrating pipeline depth.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15 employees and a $10M market cap, Theriva operates as a skeleton-crew biotech with limited organizational capacity [2]. The company faces going concern doubt, workforce reductions, and R&amp;D expense cuts in 2026 to extend cash runway into Q1 2027 [1]. While the mission of treating deadly cancers is inherently inspiring, the company's constrained resources and survival-mode operations limit its ability to build an inspiring culture.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 RULE — LIQUIDITY FLOOR: Average daily volume of 14,724,684 multiplied by $0.22 stock price equals approximately $3.2M, exceeding the threshold. However, fundamentals are critical: no revenue, negative ROE of -137.8%, D/E of 17.1%, and going concern doubt [1]. G&amp;A expenses of $15.4M in 2025 dwarfed the $10M market cap, and cash runway extends only into Q1 2027 without additional capital [2]. The company needs significant external financing to fund the proposed Phase 3 trial.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Theriva demonstrates both infinite and finite game elements — the persistent pursuit of a potentially life-saving pancreatic cancer therapy reflects enduring mission commitment, but the company's survival-mode operations, workforce reductions, and strategic licensing of non-core assets (SYN-020) reflect finite-game resource constraints forcing difficult trade-offs.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Developing a new treatment for pancreatic cancer, one of the most lethal and undertreated cancers, is a genuinely inspiring cause [1]. VCN-01's Orphan Drug and Rare Pediatric Disease designations for retinoblastoma further demonstrate commitment to high-unmet-need patient populations.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15 employees remaining after workforce reductions, Theriva operates at minimum viable staffing [2]. The going concern doubt and R&amp;D expense cuts inevitably create retention challenges, though the small team may exhibit strong cohesion around the mission.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Theriva competes in the crowded immuno-oncology space against well-funded programs from Merck, BMS, and Roche [1]. The oncolytic virus approach provides scientific differentiation, but the competitive gap in resources is enormous, making rivalry asymmetric.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SYN-020 license to Rasayana Therapeutics for up to $38M in milestones demonstrates willingness to monetize non-core assets [1]. The dual regulatory strategy (FDA and EMA) for Phase 3 design provides geographic flexibility, though financial constraints limit strategic optionality.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Pursuing a Phase 3 trial in pancreatic cancer as a 15-person company with $10M market cap requires conviction, and the positive FDA End-of-Phase 2 feedback validates the clinical strategy [1]. However, the company needs substantial external capital or a partnership to actually execute the trial.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Theriva Biologics offers a speculative catalyst-driven opportunity with VCN-01 receiving positive FDA End-of-Phase 2 feedback for a Phase 3 pancreatic cancer trial — a disease with no effective second-line therapies and a $3B+ addressable market [1]. The VIRAGE Phase 2b data showed meaningful OS, PFS, and DoR improvements, with the expanded benefit in the two-dose macrocycle cohort suggesting dose-response relationship. Orphan Drug designation in retinoblastoma, VCN-12 preclinical data, and the SYN-020 licensing deal provide additional value creation pathways, all at a $10M market cap that prices in near-zero probability of success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existential survival risk — going concern doubt, 15 employees, cash runway only into Q1 2027, and the Phase 3 trial will require $50-100M+ that the company cannot self-fund [1]. The stock has traded below $0.25 with massive daily volume turnover suggesting speculative trading rather than fundamental positioning. Any capital raise at current levels would be catastrophically dilutive, and the absence of a pharma partner for Phase 3 co-development raises questions about industry validation of the clinical data [2]. G&amp;A expenses of $15.4M in 2025 exceeded the entire current market cap, and the 85% decline from 52-week highs reflects deep investor skepticism.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Phase 3 PDAC trial initiation following positive FDA End-of-Phase 2 feedback, potentially with a pharma partnership that validates VCN-01 and provides non-dilutive funding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Retinoblastoma Phase 2/3 trial design discussions with FDA and EMA in 2026 that could unlock additional Orphan Drug and Rare Pediatric Disease pathway value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Strategic partnership or acquisition by a larger oncology company seeking a differentiated pancreatic cancer asset, with VCN-01's Phase 2b data as the foundation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Inability to raise $50-100M+ for Phase 3 trial without catastrophic dilution at $0.22/share, potentially requiring a reverse merger or asset sale at fire-sale valuations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Going concern doubt — cash runway into Q1 2027 provides less than 12 months of operating buffer without additional financing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Phase 3 trial failure risk — the VIRAGE Phase 2b data showed efficacy trends but the Phase 3 must demonstrate statistically significant OS improvement in a larger patient population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has modest relevance to Theriva's business — it could accelerate clinical trial design, patient recruitment, and biomarker analysis, but the core value lies in proprietary oncolytic virus biology, not computational methods [1]. AI-driven drug discovery competitors are unlikely to replicate the specific VCN-01 mechanism and clinical data in the near term. The company's existential financial challenges dwarf any AI-related considerations.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Theriva Biologics Full-Year 2025 Financial Results and Corporate Update, March 12, 2026; FDA End-of-Phase 2 Meeting Feedback, March 23,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TOVX key statistics, accessed March 2026; GlobeNewsWire press releases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