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TPG</w:t>
      </w:r>
      <w:r>
        <w:rPr>
          <w:rFonts w:ascii="Calibri" w:hAnsi="Calibri"/>
          <w:b/>
          <w:color w:val="1A2010"/>
          <w:sz w:val="40"/>
        </w:rPr>
        <w:t xml:space="preserve">  TPG Inc.</w:t>
      </w:r>
    </w:p>
    <w:p>
      <w:pPr>
        <w:spacing w:after="120"/>
      </w:pPr>
      <w:r>
        <w:rPr>
          <w:rFonts w:ascii="Calibri" w:hAnsi="Calibri"/>
          <w:b/>
          <w:color w:val="6E8450"/>
          <w:sz w:val="18"/>
        </w:rPr>
        <w:t>GROWTH SLEEVE · 2026-04-07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TPG Inc. is a leading global alternative asset management firm with $303 billion in AUM operating across six multi-strategy platforms: Capital, Growth, Impact (Rise), Credit, Real Estate, and Market Solutions. The firm manages more than 400 portfolio companies, 300 real estate properties, and 6,400 credit positions across 33 countries.</w:t>
      </w:r>
    </w:p>
    <w:p>
      <w:r>
        <w:rPr>
          <w:rFonts w:ascii="Calibri" w:hAnsi="Calibri"/>
          <w:b/>
          <w:color w:val="6E8450"/>
          <w:sz w:val="18"/>
        </w:rPr>
        <w:t>3,500 Employees · https://www.tpg.com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TPG has executed transformative growth since its 2022 IPO — AUM expanded from ~$135B to $303B, including the $2.7B Angelo Gordon acquisition that added credit and structured finance capabilities [1]. Fundraising of $51B and deployment of $52B in 2025 alone demonstrate significant scaling. The creation of TPG Rise as a $14B dedicated impact investing platform was an industry-defining move [4]. AI Deployment (1/2): TPG appointed Paul Daugherty as AI Advisory Chair and launched a firm-wide AI initiative spanning investment strategies, portfolio value creation, and internal operations [2]. However, no AI-powered products are shipping to external clients yet — this remains exploratory. Market Share (2/2): TPG is among the top 10 global alternative asset managers with $303B AUM, competing directly with Blackstone, KKR, and Apollo [1]. The firm's leadership in impact investing (Rise) gives it category-defining market share in a growing niche. Pipeline (1/2): $72B in available capital positions TPG well for deployment, and the Jackson Financial $20B mandate demonstrates continued institutional demand [1]. Specific product launches are less visible than deployment capacity. R&amp;D Intensity (0/1): As an asset management firm, TPG does not have traditional R&amp;D spending; innovation comes through new fund strategies and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TPG's stated focus on 'a principled focus on innovation' and commitment to 'building dynamic businesses and creating value' is clear but not deeply distinctive among alternative asset managers [2]. The impact investing platform (Rise) adds purpose beyond pure profit, but the core mission reads as industry-standard. Community Impact (2/2): TPG Rise manages $14B dedicated to impact investments across climate, education, and healthcare, with Y Analytics providing proprietary in-house ESG and impact assessment [4]. TPG established its global ESG policy in 2012 — over a decade ahead of most peers — and publishes annual ESG reviews with measurable outcomes [4]. Employee Retention (1/2): CEO Jon Winkelried has been at TPG since 2015 (11 years) after 27 years at Goldman Sachs, providing stable leadership [2]. The firm promotes an inclusive culture and has maintained a stable senior leadership team through the IPO transition. Insider Buying (0/2): No evidence of meaningful net insider buying found in recent data; as a recently public company, insider transactions are often restricted.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TPG's financial profile is exceptionally strong for a recently public alternative asset manager. Revenue grew 38.5% YoY driven by record fundraising and deployment, with Fee-Related Earnings surging 25% to $953M in 2025 [1]. D/E of 58.4% is conservative for the financial sector, and ROE of 15.5% meets the target threshold [5]. Forward P/E of 10.3x is remarkably cheap for a high-growth alternative asset manager, comparing favorably to peers like Blackstone (~25x) and KKR (~20x) [5]. The primary weakness is GAAP profit margin of 3.95%, reflecting the pass-through nature of fund economics and non-cash compensation expenses common to newly public asset managers [5]. Total debt of $2.4B against $826M cash is manageable given the fee-generating AUM base. Quarterly dividend of $0.61/share (5.4% yield) reflects strong cash generation [1]. Liquidity floor easily cleared: 3.79M avg vol × $37.93 = $143.8M [5]. Infrastructure calculated: D/E 58.4% (1.0, 1×), ROE 15.5% (1.0, 2×), Rev Growth YoY 38.5% (1.0, 1×), Forward P/E 10.3 (1.0, 1×), Profit Margin 3.95% (0.20, 1×) = weighted 5.20/6 × 10 =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TPG demonstrates meaningful infinite game qualities — the decade-long commitment to impact investing through Rise, the patient buildout from PE firm to $303B multi-strategy platform, and stable leadership under Jon Winkelried all suggest playing to endure. However, the rapid post-IPO expansion (AUM doubling in 3 years) and aggressive acquisition strategy raise questions about whether growth is driven by cause or by the public market's demand for AUM expansion.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TPG's commitment to innovation-led investing and impact is genuine and partially validated — the creation of TPG Rise ($14B impact AUM) and establishment of Y Analytics for ESG measurement preceded the ESG investing trend by years [4]. The firm's evolution from a leveraged buyout shop to a multi-strategy platform serving climate, healthcare, and education demonstrates a purpose beyond pure financial returns. However, the cause hasn't been tested through a multi-decade track record as a public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TPG's leadership has been stable — CEO Winkelried has served since 2015 (predecessor to co-CEO, then sole CEO in 2021) [2]. The firm promotes 'a distinctive culture of openness and collaboration' and emphasizes diversity of thought and inclusive decision-making. The successful integration of Angelo Gordon's 500+ employees suggests organizational trust. However, no specific retention metrics or tenure data are available to confirm exceptional team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Winkelried has explicitly acknowledged that 'various firms are pursuing divergent business models' with 'different risks associated with each approach,' framing competition as a landscape of different strategies rather than a zero-sum war [2]. TPG's differentiation through impact investing and multi-strategy breadth suggests the firm uses rivals' strengths (Blackstone's scale, KKR's operational expertise) as benchmarks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TPG has evolved significantly from its roots as a traditional private equity firm (Texas Pacific Group) to a $303B multi-strategy platform spanning PE, credit, real estate, impact investing, and market solutions [1]. The Angelo Gordon acquisition in 2023 added entirely new capabilities. The Rise impact platform was a strategic bet that predated market trends. These are meaningful adaptations but were incremental rather than a single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Launching TPG Rise as a dedicated impact investing platform and establishing an ESG policy in 2012 — years before ESG became mainstream — demonstrated willingness to invest in a long-term thesis [4]. The $2.7B Angelo Gordon acquisition during market uncertainty and the commitment of $72B in dry powder for future deployment show conviction. However, these decisions align with market trends rather than representing costly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TPG is a top-tier alternative asset manager trading at just 10.3x forward earnings with 38.5% revenue growth, $303B AUM, and 5.4% dividend yield — a valuation disconnect driven by the stock's 18% decline from its 52-week high [5]. The firm raised $51B and deployed $52B in 2025, with Fee-Related Earnings growing 25% to $953M, demonstrating the power of a scaled multi-strategy platform [1]. The $72B in available capital and new $20B Jackson Financial mandate provide clear deployment visibility. TPG's differentiation through impact investing (Rise, $14B AUM) and the appointment of Paul Daugherty as AI Advisory Chair position the firm at the intersection of two secular growth trends [2][4]. At 10.3x forward P/E vs. peers at 20-25x, TPG offers significant multiple expansion potential if growth sustains.</w:t>
      </w:r>
    </w:p>
    <w:p>
      <w:pPr>
        <w:spacing w:after="120"/>
      </w:pPr>
      <w:r>
        <w:rPr>
          <w:rFonts w:ascii="Calibri" w:hAnsi="Calibri"/>
          <w:b w:val="0"/>
          <w:color w:val="3A4A28"/>
          <w:sz w:val="20"/>
        </w:rPr>
        <w:t>The bear case focuses on market sensitivity and margin quality. GAAP profit margin of 3.95% is thin, reflecting non-cash compensation expenses and the pass-through economics of recently public alternative managers [5]. The trailing P/E of 84x suggests current GAAP earnings are depressed by one-time items or compensation costs that may persist. Total debt of $2.4B against $826M cash creates leverage risk if capital markets deteriorate and fundraising slows. Alternative asset managers are cyclically exposed — a downturn in private equity deal activity, real estate valuations, or credit markets could simultaneously pressure AUM, fees, and realizations. The variable dividend (ranging from $0.38 to $0.61 quarterly) signals earnings volatility. Competition from Blackstone, KKR, Apollo, and Carlyle for institutional capital is intense, and TPG's relative scale disadvantage (vs. Blackstone's $1T+ AUM) may limit its ability to win the largest mandates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$72B in available capital for deployment in a potentially dislocated market, with $20B Jackson Financial mandate demonstrating institutional demand for TPG's platform [1]</w:t>
      </w:r>
    </w:p>
    <w:p>
      <w:pPr>
        <w:spacing w:before="40" w:after="40"/>
        <w:ind w:left="283"/>
      </w:pPr>
      <w:r>
        <w:rPr>
          <w:rFonts w:ascii="Calibri" w:hAnsi="Calibri"/>
          <w:b/>
          <w:color w:val="4A6B25"/>
          <w:sz w:val="20"/>
        </w:rPr>
        <w:t xml:space="preserve">2. </w:t>
      </w:r>
      <w:r>
        <w:rPr>
          <w:rFonts w:ascii="Calibri" w:hAnsi="Calibri"/>
          <w:b w:val="0"/>
          <w:color w:val="3A4A28"/>
          <w:sz w:val="20"/>
        </w:rPr>
        <w:t>Multiple expansion potential — TPG trades at 10.3x forward P/E vs. Blackstone ~25x, KKR ~20x, suggesting 50-100% upside if the market reclassifies TPG as a scaled platform rather than a subscale PE shop [5]</w:t>
      </w:r>
    </w:p>
    <w:p>
      <w:pPr>
        <w:spacing w:before="40" w:after="40"/>
        <w:ind w:left="283"/>
      </w:pPr>
      <w:r>
        <w:rPr>
          <w:rFonts w:ascii="Calibri" w:hAnsi="Calibri"/>
          <w:b/>
          <w:color w:val="4A6B25"/>
          <w:sz w:val="20"/>
        </w:rPr>
        <w:t xml:space="preserve">3. </w:t>
      </w:r>
      <w:r>
        <w:rPr>
          <w:rFonts w:ascii="Calibri" w:hAnsi="Calibri"/>
          <w:b w:val="0"/>
          <w:color w:val="3A4A28"/>
          <w:sz w:val="20"/>
        </w:rPr>
        <w:t>AI integration across investment strategies and portfolio companies under Paul Daugherty's leadership, potentially driving differentiated returns and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markets cyclicality — a downturn in PE deal activity, credit markets, or real estate valuations could simultaneously pressure fundraising, deployment, and realizations across all six platforms [1]</w:t>
      </w:r>
    </w:p>
    <w:p>
      <w:pPr>
        <w:spacing w:before="40" w:after="40"/>
        <w:ind w:left="283"/>
      </w:pPr>
      <w:r>
        <w:rPr>
          <w:rFonts w:ascii="Calibri" w:hAnsi="Calibri"/>
          <w:b/>
          <w:color w:val="4A6B25"/>
          <w:sz w:val="20"/>
        </w:rPr>
        <w:t xml:space="preserve">2. </w:t>
      </w:r>
      <w:r>
        <w:rPr>
          <w:rFonts w:ascii="Calibri" w:hAnsi="Calibri"/>
          <w:b w:val="0"/>
          <w:color w:val="3A4A28"/>
          <w:sz w:val="20"/>
        </w:rPr>
        <w:t>Thin GAAP margins (3.95%) driven by equity-based compensation may persist, creating a structural gap between economic earnings and reported profitability [5]</w:t>
      </w:r>
    </w:p>
    <w:p>
      <w:pPr>
        <w:spacing w:before="40" w:after="40"/>
        <w:ind w:left="283"/>
      </w:pPr>
      <w:r>
        <w:rPr>
          <w:rFonts w:ascii="Calibri" w:hAnsi="Calibri"/>
          <w:b/>
          <w:color w:val="4A6B25"/>
          <w:sz w:val="20"/>
        </w:rPr>
        <w:t xml:space="preserve">3. </w:t>
      </w:r>
      <w:r>
        <w:rPr>
          <w:rFonts w:ascii="Calibri" w:hAnsi="Calibri"/>
          <w:b w:val="0"/>
          <w:color w:val="3A4A28"/>
          <w:sz w:val="20"/>
        </w:rPr>
        <w:t>Fundraising competition — Blackstone ($1T+), KKR, and Apollo have significant scale advantages in winning the largest institutional mandates, and a crowded alternative asset market could compress management fees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Alternative asset management is protected from AI disruption — the core value proposition of deal sourcing, relationship-driven fundraising, portfolio management, and investment judgment relies on human expertise, institutional relationships, and proprietary access that AI cannot replicate [2]. Regulatory complexity across 33 countries adds structural protection. However, AI is transforming quantitative analysis, due diligence processes, and portfolio monitoring, which could benefit larger firms with deeper technology budgets and pressure smaller managers. TPG's scale ($303B AUM) provides a defensive moat. AI Opportunity (0/1): While TPG appointed Paul Daugherty as AI Advisory Chair and is investing across AI themes in portfolio companies, the firm does not generate quantifiable AI product revenue from external clients [2]. AI is used internally for operational improvement, not as a revenue-generating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TPG Q4 and Full Year 2025 Results — $303B AUM, $51B raised, $52B deployed, FRE $953M, February 2026</w:t>
      </w:r>
    </w:p>
    <w:p>
      <w:pPr>
        <w:spacing w:before="20" w:after="20"/>
        <w:ind w:left="170"/>
      </w:pPr>
      <w:r>
        <w:rPr>
          <w:rFonts w:ascii="Calibri" w:hAnsi="Calibri"/>
          <w:b/>
          <w:color w:val="4A6B25"/>
          <w:sz w:val="15"/>
        </w:rPr>
        <w:t xml:space="preserve">2. </w:t>
      </w:r>
      <w:r>
        <w:rPr>
          <w:rFonts w:ascii="Calibri" w:hAnsi="Calibri"/>
          <w:b w:val="0"/>
          <w:color w:val="3A4A28"/>
          <w:sz w:val="17"/>
        </w:rPr>
        <w:t>TPG corporate website — About Us, CEO Jon Winkelried profile, Paul Daugherty AI Advisory Chair appointment,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GuruFocus — TPG strong Q4 revenue and record AUM growth analysis, February 2026</w:t>
      </w:r>
    </w:p>
    <w:p>
      <w:pPr>
        <w:spacing w:before="20" w:after="20"/>
        <w:ind w:left="170"/>
      </w:pPr>
      <w:r>
        <w:rPr>
          <w:rFonts w:ascii="Calibri" w:hAnsi="Calibri"/>
          <w:b/>
          <w:color w:val="4A6B25"/>
          <w:sz w:val="15"/>
        </w:rPr>
        <w:t xml:space="preserve">4. </w:t>
      </w:r>
      <w:r>
        <w:rPr>
          <w:rFonts w:ascii="Calibri" w:hAnsi="Calibri"/>
          <w:b w:val="0"/>
          <w:color w:val="3A4A28"/>
          <w:sz w:val="17"/>
        </w:rPr>
        <w:t>TPG ESG Review and Rise Impact Platform — $14B impact AUM, Y Analytics, ESG policy since 2012</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TPG,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