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TPR</w:t>
      </w:r>
      <w:r>
        <w:rPr>
          <w:rFonts w:ascii="Calibri" w:hAnsi="Calibri"/>
          <w:b/>
          <w:color w:val="1A2010"/>
          <w:sz w:val="40"/>
        </w:rPr>
        <w:t xml:space="preserve">  Tapestry,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Luxury Goods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Tapestry is a New York-based house of accessible luxury brands — Coach, Kate Spade, and Stuart Weitzman. After its $8.5B acquisition of Capri Holdings (Michael Kors / Versace / Jimmy Choo) was blocked by the FTC in October 2024 and terminated in November 2024, Tapestry pivoted to a $2B share buyback and focused on organic growth led by Coach.</w:t>
      </w:r>
    </w:p>
    <w:p>
      <w:r>
        <w:rPr>
          <w:rFonts w:ascii="Calibri" w:hAnsi="Calibri"/>
          <w:b/>
          <w:color w:val="6E8450"/>
          <w:sz w:val="18"/>
        </w:rPr>
        <w:t>13,900 Employees · https://www.tapestry.com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Coach has staged a successful brand reinvention under creative director Stuart Vevers and President Todd Kahn — younger consumers, expressive product, and the Tabby/Brooklyn handbag franchises driving 10% growth in fiscal Q2 2025 [1]. The Capri merger failure is a meaningful pivot setback, but the Q2 2025 revenue beat shows the standalone strategy works. AI Deployment (2/2): Specific AI products in production — Tell Rexy and Ask Rexy associate-facing AI agents, AI-personalized e-commerce content reportedly delivering 3-5% revenue uplift [3], and AI-generated imagery pilots [3]. Market Share Leadership (1/2): Coach holds the #1 share position in the U.S. accessible-luxury handbag category — the FTC blocked the Capri deal precisely because of this. Product Pipeline (1/2): The 'AMPLIFY' strategy launched fall 2025 outlines product, experience, and storytelling investments but lacks specific revenue targets [2]. R&amp;D Intensity (1/1): Above-peer technology and creative investment relative to luxury retail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'Stretching what's possible' brand purpose, articulated through the AMPLIFY strategy of emotional storytelling and brand-building [2], is specific and thoughtful — clearly differentiates Tapestry from peers like Capri or PVH. Community Impact (2/2): The Coach Foundation funds youth empowerment programs with measurable dollar amounts; Tapestry's broader corporate responsibility programs target equity, inclusion, and sustainability with quantified targets [2]. Employee Retention (1/2): Named to Newsweek's America's Greatest Workplaces for Mental Well-being 2025 [2], suggesting above-average retention culture, though specific tenure data not disclosed. Insider Buying (1/2): Joanne Crevoiserat has held meaningful equity since being named CEO in 2020; insider activity is balanced but management has executed against long-term incentive metrics.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 calculation on Growth-stock weights. D/E 715% (well above 300% floor, 0.0) — heavily leveraged after the post-Capri $2B buyback. ROE 55.3% (well above 15%, 1.0, 2x weight) — but partly an artifact of the leveraged equity base. Revenue growth YoY 14% (above 10%, 1.0). Revenue growth 5yr CAGR ~3% (between floor -5 and target 10, score = (3-(-5))/(10-(-5)) = 0.53, 2x weight). Forward P/E 20.8 (just above 20 target, score = (60-20.8)/(60-20) = 0.98). Profit margin 6.95% (between 0 and 20%, score = 6.95/20 = 0.35). Forward PEG ~1.5 estimated (between 1.0 and 3.0, score = 0.75, 2x weight). Weighted sum: 0+2+1+1.06+0.98+0.35+1.5 = 6.89 / 10 → 7. Adjusted to 6 reflecting the heavy debt overhang from the buyback. Liquidity: 2.21M × $149.97 = $331M (passes). FY2025 guidance: revenue $6.85B, EPS $4.85-$4.90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Tapestry shows mixed signals. The pursuit of and quick pivot away from the failed Capri merger demonstrates execution flexibility but also a finite-game inclination toward growth-by-acquisition. The AMPLIFY strategy and consistent CEO tenure under Joanne Crevoiserat support a longer-term Just Cause anchored in Coach's brand revival.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'Stretching what's possible for iconic brands' is a genuine cause that has shaped the Coach brand renewal under Vevers/Kahn [2]. It has been partially lived through the 2020-2025 transformation but is too recent to score 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Newsweek America's Greatest Workplaces for Mental Well-being 2025 recognition [2], stable executive team, and the ability to launch employee-facing AI tools (Tell Rexy, Ask Rexy) suggest a high-trust culture — though specific tenure data is not disclosed.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Public commentary tends to position Tapestry as competing with European luxury houses but framing is closer to 'win share' than Sinek-style worthy rival admiration.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Capri pivot, the Coach brand reinvention for a younger consumer, and the AI-led retail operating system pivot [3] show willingness to evolve. Has not yet executed a true blow-up-the-business-model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Walking away from the $8.5B Capri merger when courts blocked it [1] — and immediately pivoting to a $2B buyback rather than fighting through appeals — was a clear-eyed capital allocation decision. Continued investment in Coach brand-building during the 2022-2023 luxury slowdown also counts.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Tapestry is a high-quality consumer brand operator with one of the best-executed brand turnarounds in retail. Coach grew 10% in fiscal Q2 2025 [1] driven by the Tabby/Brooklyn franchises and continued resonance with younger consumers. The failed Capri merger, while frustrating strategically, freed up $8.5B of dry powder that management redeployed into a $2B buyback at attractive valuations [1]. Management raised FY25 revenue guidance to $6.85B and EPS to $4.85-$4.90, signaling confidence in standalone execution. The AMPLIFY strategy launched in fall 2025 [2] and the AI-led retail operating system [3] support continued share gains.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balance sheet leverage and brand concentration. Debt-to-equity of 715% is extreme — a function of the buyback and existing debt — and limits flexibility if a luxury downturn deepens. Coach generates the majority of profits, leaving Kate Spade and Stuart Weitzman to do most of the brand-rebuild heavy lifting; a stumble at Coach (which is highly fashion-cycle dependent) would compress earnings sharply. China demand remains volatile and structural. Forward P/E of 20.8 already prices in continued double-digit Coach growth, leaving little margin for execution missteps.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Coach double-digit revenue growth driven by Tabby franchise and AMPLIFY brand storytelling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Kate Spade brand turnaround under new creative leadership returning to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share buybacks executing against the $2B post-Capri authorization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Debt-to-equity of 715% leaves the balance sheet exposed to a luxury cycle downturn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Coach concentration risk — fashion misstep at the flagship brand would crater consolidated earnings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China consumer demand softness disproportionately affecting accessible luxury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Luxury handbags are a physical-world brand-driven category where AI cannot substitute the product. Brand storytelling, in-store experience, and fashion creativity remain human-led [3]. AI is a clear enabler for Tapestry — personalization, supply chain, and store-associate productivity all benefit. The risk is on the marketing tail: AI could erode the moat of expensive ad creative if competitors close the personalization gap. Analysts do not flag AI as a substitution risk for luxury brands. AI Opportunity (1/1): Specific AI revenue uplift cited — 3-5% lift on personalized e-commerce content [3] and operational AI deployments at scale across brands.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Tapestry Q2 FY2025 Earnings Release, February 6, 2025; Capri Merger Termination, November 14, 2024 (BusinessWire)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Tapestry Corporate Site — AMPLIFY strategy, leadership and culture, accessed April 2026 (tapestry.com/company)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WWD — 'How Tapestry Merges Luxury with AI for Digital Transformation'; PYMNTS — 'Tapestry Rewrites the Retail Playbook by Thinking Like a Tech Company',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