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TRGP</w:t>
      </w:r>
      <w:r>
        <w:rPr>
          <w:rFonts w:ascii="Calibri" w:hAnsi="Calibri"/>
          <w:b/>
          <w:color w:val="1A2010"/>
          <w:sz w:val="40"/>
        </w:rPr>
        <w:t xml:space="preserve">  Targa Resources Corp.</w:t>
      </w:r>
    </w:p>
    <w:p>
      <w:pPr>
        <w:spacing w:after="120"/>
      </w:pPr>
      <w:r>
        <w:rPr>
          <w:rFonts w:ascii="Calibri" w:hAnsi="Calibri"/>
          <w:b/>
          <w:color w:val="6E8450"/>
          <w:sz w:val="18"/>
        </w:rPr>
        <w:t>GROWTH SLEEVE · 2026-04-27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Targa Resources owns and operates midstream infrastructure assets across North America, including gathering, compressing, treating, processing, and transporting natural gas and NGLs. The company operates through Gathering and Processing and Logistics and Transportation segments, with key assets in the Permian Basin, Mont Belvieu fractionation, and the Grand Prix NGL pipeline.</w:t>
      </w:r>
    </w:p>
    <w:p>
      <w:r>
        <w:rPr>
          <w:rFonts w:ascii="Calibri" w:hAnsi="Calibri"/>
          <w:b/>
          <w:color w:val="6E8450"/>
          <w:sz w:val="18"/>
        </w:rPr>
        <w:t>3,570 Employees · https://www.targaresources.com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Targa delivered record full-year 2025 adjusted EBITDA of $4,957M and net income of $1,923M, with 2026 EBITDA guidance of $5.4B-$5.6B representing an 11% increase at midpoint [1]. Revenue of $17B with 74.5% earnings growth demonstrates strong execution. AI Deployment (2/2): Targa has deployed AI-driven 'digital twins' at processing plants including Yeti and Falcon II facilities to optimize energy efficiency and detect leaks in real-time, a genuine operational innovation for a midstream operator [2]. Market Share (2/2): Dominant positioning in the Permian Basin with the Grand Prix NGL pipeline and Mont Belvieu fractionation capacity creates a structurally advantaged infrastructure network. Pipeline (1/2): Securing natural gas feedstock contracts for hyperscale data center on-site power generation diversifies the volume outlook beyond traditional E&amp;P activity [2]. R&amp;D Intensity (0/1): Limited formal R&amp;D spend typical of midstream infrastructure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Targa's mission centers on safe and reliable energy infrastructure operations rather than a transformational purpose; functional but not inspiring. Community Impact (1/2): The company employs 3,570 people, completed ~74,000 safety and environmental training hours in 2024, and achieved a 22% reduction in Total Recordable Incident Rate since 2021 [3]. Employee Retention (1/2): Glassdoor rating of 4.0/5.0 based on 182 reviews indicates generally positive employee experience, though Comparably leadership scores rank in the bottom 20% for similar-sized companies, with some reviews citing 'new leadership is terrible top to bottom' while praising pay and benefits [2]. Insider Buying (1/2): The 25% dividend increase to $5.00/share annualized signals management confidence in the business trajectory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Targa's financial profile shows strong earnings power offset by an aggressive capital structure. P/E of 28.3x and forward P/E of 20.8x with PEG of 1.25 reflects reasonable growth valuation [4]. ROE of 51.4% is excellent but D/E of 548.6% is extremely elevated, reflecting the capital-intensive midstream model with heavy debt financing. Profit margin of 11.3% is modest for the sector, and revenue declined 7.9% YoY, though EBITDA grew 11% indicating NGL margin improvement [1]. Operating cash flow of $3.9B is strong but free cash flow is negative at -$264M due to heavy growth capex. Gross margin of 38.3% and operating margin of 22.6% are solid. Liquidity floor easily cleared: 1.49M avg volume × $240.69 = $358M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Targa plays a moderately long-term game as an infrastructure operator with multi-decade asset lives and long-term fee-based contracts, but the business is ultimately tied to fossil fuel commodity cycles. The 25% dividend increase and heavy growth capex signal confidence in sustained demand, though leadership culture concerns temper the assessment.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Targa's purpose centers on providing critical energy infrastructure that enables economic activity — a durable but transactional cause rather than a transformational one [1]. The company's pivot toward powering AI data centers with natural gas feedstock adds a forward-looking dimension, but the core mission remains infrastructure throughput maximization.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internal culture: Glassdoor 4.0/5.0 rating and strong pay/benefits are positive, but Comparably leadership scores in the bottom 20% and employee reviews citing poor new leadership suggest trust erosion at management levels [2]. The 74,000 safety training hours and declining incident rates indicate operational team discipline remains strong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Targa competes with Enterprise Products Partners, ONEOK, and Energy Transfer in the midstream space. The company's strategic response — expanding Permian gathering capacity and Grand Prix pipeline throughput — shows awareness of competitive positioning, though the industry is more cooperative (long-term contracts) than rivalrous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Targa has demonstrated meaningful strategic flexibility by pivoting from pure commodity-sensitive gathering to fee-based contracts, expanding into NGL exports (6.5B gallons LPG exported), and now positioning for AI data center natural gas demand [2][3]. The diversification from upstream drilling dependency toward power generation and export markets shows adaptive capacity beyond the traditional midstream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Matt Meloy's decision to aggressively invest in growth capex (resulting in negative FCF) while simultaneously raising the dividend 25% shows conviction in the long-term demand thesis [1]. However, the extremely high D/E ratio of 548.6% and reliance on continued volume growth to service debt represent a leveraged bet rather than conservative stewardship.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Targa Resources is a premier midstream infrastructure operator delivering record financial performance with 2025 EBITDA of $4,957M and 2026 guidance of $5.4B-$5.6B, representing 11% growth at midpoint [1]. The company's dominant Permian Basin positioning, Mont Belvieu fractionation capacity, and Grand Prix NGL pipeline create a structurally advantaged network that benefits from rising natural gas demand driven by AI data center buildout and LPG exports [2]. The 25% dividend increase to $5.00/share annualized demonstrates management confidence, while AI-driven digital twin technology at processing plants shows operational innovation [2]. At 20.8x forward P/E with a PEG of 1.25, valuation is reasonable for double-digit EBITDA growth, though the 1.77% yield places TRGP in Growth rather than Dividend territory.</w:t>
      </w:r>
    </w:p>
    <w:p>
      <w:pPr>
        <w:spacing w:after="120"/>
      </w:pPr>
      <w:r>
        <w:rPr>
          <w:rFonts w:ascii="Calibri" w:hAnsi="Calibri"/>
          <w:b w:val="0"/>
          <w:color w:val="3A4A28"/>
          <w:sz w:val="20"/>
        </w:rPr>
        <w:t>The bear case centers on Targa's extreme leverage and commodity sensitivity. D/E of 548.6% is among the highest in the midstream sector, and negative free cash flow of -$264M from aggressive growth capex means the company is dependent on capital markets access to fund expansion [4]. Revenue declined 7.9% YoY despite EBITDA growth, reflecting pass-through commodity price headwinds that could intensify in a downturn. A sustained collapse in oil and gas prices would reduce upstream drilling activity and pipeline throughput volumes regardless of fee-based contract structures [2]. Leadership culture concerns — Comparably scores in the bottom 20% and negative Glassdoor reviews about management — could impact talent retention as the company scales. The energy transition thesis, while slow-moving, represents a multi-decade structural headwind for fossil fuel infrastructure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EBITDA guidance of $5.4B-$5.6B representing 11% growth at midpoint, with potential upside from Permian Basin volume acceleration [1]</w:t>
      </w:r>
    </w:p>
    <w:p>
      <w:pPr>
        <w:spacing w:before="40" w:after="40"/>
        <w:ind w:left="283"/>
      </w:pPr>
      <w:r>
        <w:rPr>
          <w:rFonts w:ascii="Calibri" w:hAnsi="Calibri"/>
          <w:b/>
          <w:color w:val="4A6B25"/>
          <w:sz w:val="20"/>
        </w:rPr>
        <w:t xml:space="preserve">2. </w:t>
      </w:r>
      <w:r>
        <w:rPr>
          <w:rFonts w:ascii="Calibri" w:hAnsi="Calibri"/>
          <w:b w:val="0"/>
          <w:color w:val="3A4A28"/>
          <w:sz w:val="20"/>
        </w:rPr>
        <w:t>AI data center natural gas demand providing structural volume growth beyond traditional E&amp;P activity, de-risking the long-term outlook [2]</w:t>
      </w:r>
    </w:p>
    <w:p>
      <w:pPr>
        <w:spacing w:before="40" w:after="40"/>
        <w:ind w:left="283"/>
      </w:pPr>
      <w:r>
        <w:rPr>
          <w:rFonts w:ascii="Calibri" w:hAnsi="Calibri"/>
          <w:b/>
          <w:color w:val="4A6B25"/>
          <w:sz w:val="20"/>
        </w:rPr>
        <w:t xml:space="preserve">3. </w:t>
      </w:r>
      <w:r>
        <w:rPr>
          <w:rFonts w:ascii="Calibri" w:hAnsi="Calibri"/>
          <w:b w:val="0"/>
          <w:color w:val="3A4A28"/>
          <w:sz w:val="20"/>
        </w:rPr>
        <w:t>25% dividend increase to $5.00/share annualized signals management confidence and could drive yield-seeking investor inflows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D/E of 548.6% and negative FCF of -$264M creates vulnerability to capital markets disruption or rising interest rates [4]</w:t>
      </w:r>
    </w:p>
    <w:p>
      <w:pPr>
        <w:spacing w:before="40" w:after="40"/>
        <w:ind w:left="283"/>
      </w:pPr>
      <w:r>
        <w:rPr>
          <w:rFonts w:ascii="Calibri" w:hAnsi="Calibri"/>
          <w:b/>
          <w:color w:val="4A6B25"/>
          <w:sz w:val="20"/>
        </w:rPr>
        <w:t xml:space="preserve">2. </w:t>
      </w:r>
      <w:r>
        <w:rPr>
          <w:rFonts w:ascii="Calibri" w:hAnsi="Calibri"/>
          <w:b w:val="0"/>
          <w:color w:val="3A4A28"/>
          <w:sz w:val="20"/>
        </w:rPr>
        <w:t>Dependence on upstream drilling activity — a sustained oil/gas price collapse would reduce gathering and processing volumes through Targa's network [2]</w:t>
      </w:r>
    </w:p>
    <w:p>
      <w:pPr>
        <w:spacing w:before="40" w:after="40"/>
        <w:ind w:left="283"/>
      </w:pPr>
      <w:r>
        <w:rPr>
          <w:rFonts w:ascii="Calibri" w:hAnsi="Calibri"/>
          <w:b/>
          <w:color w:val="4A6B25"/>
          <w:sz w:val="20"/>
        </w:rPr>
        <w:t xml:space="preserve">3. </w:t>
      </w:r>
      <w:r>
        <w:rPr>
          <w:rFonts w:ascii="Calibri" w:hAnsi="Calibri"/>
          <w:b w:val="0"/>
          <w:color w:val="3A4A28"/>
          <w:sz w:val="20"/>
        </w:rPr>
        <w:t>Leadership culture concerns with Comparably scores in bottom 20% and negative management reviews could impair execution during rapid growth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Midstream infrastructure is a physical asset business with minimal direct AI disruption risk — pipelines, processing plants, and fractionation facilities cannot be digitally displaced. Targa's role as a natural gas supplier for hyperscale data center power generation directly benefits from AI infrastructure buildout, turning AI from a neutral factor into a demand driver [2]. The company has proactively adopted AI-driven digital twins at Yeti and Falcon II plants for real-time leak detection and energy optimization, demonstrating operational AI integration [2]. AI Opportunity (1/1): Growing demand for natural gas from AI data centers provides a structural tailwind for Targa's gathering and processing volumes, effectively de-risking long-term volume outlook from commodity price volatility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Targa Resources Q4 &amp; Full Year 2025 Earnings Release — Record $4,957M adjusted EBITDA, 2026 guidance $5.4B-$5.6B, February 2026</w:t>
      </w:r>
    </w:p>
    <w:p>
      <w:pPr>
        <w:spacing w:before="20" w:after="20"/>
        <w:ind w:left="170"/>
      </w:pPr>
      <w:r>
        <w:rPr>
          <w:rFonts w:ascii="Calibri" w:hAnsi="Calibri"/>
          <w:b/>
          <w:color w:val="4A6B25"/>
          <w:sz w:val="15"/>
        </w:rPr>
        <w:t xml:space="preserve">2. </w:t>
      </w:r>
      <w:r>
        <w:rPr>
          <w:rFonts w:ascii="Calibri" w:hAnsi="Calibri"/>
          <w:b w:val="0"/>
          <w:color w:val="3A4A28"/>
          <w:sz w:val="17"/>
        </w:rPr>
        <w:t>FinancialContent / Multiple Sources — Targa Resources: Midstream Powerhouse Powering the AI Infrastructure Boom, February 2026</w:t>
      </w:r>
    </w:p>
    <w:p>
      <w:pPr>
        <w:spacing w:before="20" w:after="20"/>
        <w:ind w:left="170"/>
      </w:pPr>
      <w:r>
        <w:rPr>
          <w:rFonts w:ascii="Calibri" w:hAnsi="Calibri"/>
          <w:b/>
          <w:color w:val="4A6B25"/>
          <w:sz w:val="15"/>
        </w:rPr>
        <w:t xml:space="preserve">3. </w:t>
      </w:r>
      <w:r>
        <w:rPr>
          <w:rFonts w:ascii="Calibri" w:hAnsi="Calibri"/>
          <w:b w:val="0"/>
          <w:color w:val="3A4A28"/>
          <w:sz w:val="17"/>
        </w:rPr>
        <w:t>Targa Resources Sustainability Report — 22% TRIR reduction, 74,000 safety training hours, 6.5B gallons LPG exports,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TRGP (Targa Resources),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