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TRIN</w:t>
      </w:r>
      <w:r>
        <w:rPr>
          <w:rFonts w:ascii="Calibri" w:hAnsi="Calibri"/>
          <w:b/>
          <w:color w:val="1A2010"/>
          <w:sz w:val="40"/>
        </w:rPr>
        <w:t xml:space="preserve">  Trinity Capital Inc.</w:t>
      </w:r>
    </w:p>
    <w:p>
      <w:pPr>
        <w:spacing w:after="120"/>
      </w:pPr>
      <w:r>
        <w:rPr>
          <w:rFonts w:ascii="Calibri" w:hAnsi="Calibri"/>
          <w:b/>
          <w:color w:val="6E8450"/>
          <w:sz w:val="18"/>
        </w:rPr>
        <w:t>DIVIDEND SLEEVE · 2026-04-27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Trinity Capital is an internally managed business development company (BDC) providing venture debt, equipment financing, and private credit solutions to growth-stage, venture-backed companies. The firm operates across sectors including technology, life sciences, clean technology, and consumer/retail. Founded in 2008 and based in Phoenix, Arizona.</w:t>
      </w:r>
    </w:p>
    <w:p>
      <w:r>
        <w:rPr>
          <w:rFonts w:ascii="Calibri" w:hAnsi="Calibri"/>
          <w:b/>
          <w:color w:val="6E8450"/>
          <w:sz w:val="18"/>
        </w:rPr>
        <w:t>106 Employees · https://www.trinitycapital.com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Record annual net investment income of $144.1M ($2.08/share) in 2025, with total investment income growing 23.5% YoY and Q4 NII of $39.9M up 15% YoY [1]. However, the company also recorded $64.3M in net realized losses, which is the structural cost of venture lending. AI Deployment (0/2): Trinity Capital is a financial services firm that finances AI/tech companies (e.g., Sortera Technologies for AI-powered recycling) but does not meaningfully deploy AI in its own operations [2]. Market Share (1/2): Trinity has carved a strong niche in venture lending as an internally managed BDC, with ROE of 15.3% among the highest in the BDC space, though it competes with larger players like Hercules Capital and Horizon Technology [1]. Pipeline (1/2): Q1 2026 showed $306M funded and $395M of new commitments, demonstrating continued origination momentum; the shift to monthly dividends in 2026 signals confidence in cash flow stability [1]. R&amp;D Intensity (1/1): The internally managed structure (no external management fees) and diversification into equipment financing, warehouse lending, and sponsor finance show disciplined innovation within the BDC model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Trinity's mission of funding growth-stage companies that traditional banks avoid supports innovation and job creation in the broader economy, which has genuine purpose beyond profit extraction [2]. However, the mission is not distinctive among BDCs. Community Impact (2/2): By providing capital to venture-backed companies across technology, life sciences, clean tech, and consumer sectors, Trinity enables economic growth and job creation in the startup ecosystem; $306M funded in Q1 2026 alone represents meaningful capital deployment [1]. Employee Retention (1/2): Glassdoor reviews describe Trinity as a great company that values hard work, with a supportive culture and 106 employees [2]. The internally managed structure aligns employee incentives with shareholders. Insider Buying (1/2): Management's transition to monthly dividends and 102% NII coverage ratio demonstrate shareholder alignment, though the payout ratio exceeding 100% and share dilution (59.4M to 77.0M shares) raise concerns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Trinity Capital has strong income generation but structural BDC risks. Record NII of $144.1M ($2.08/share) with total investment income of $279.5M demonstrates earning power [1]. Profit margin of 48.5% and ROE of 14.1% are solid for a BDC. P/E of 8.1x and forward P/E of 7.6x are cheap, reflecting the market's discount for venture credit risk. D/E of 119% is typical for a leveraged BDC, with $1.3B total debt against the $1.3B market cap. The 12.89% dividend yield with 102% NII coverage provides thin but adequate support [1]. Key concern: $64.3M net realized losses in 2025, watch-list investments climbing to 5.3% of portfolio, and 30% share dilution YoY erode NAV [3]. Liquidity floor cleared: 1.39M avg vol × $15.84 = $22.0M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Trinity Capital operates with a mixed mindset — the internally managed BDC structure and focus on building long-term venture lending relationships show infinite game characteristics, while the high payout ratio, share dilution, and dependence on market conditions create finite pressures. The transition to monthly dividends signals confidence in sustainability, but venture credit cycles test long-term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Funding growth-stage companies that traditional banks cannot serve — providing capital for innovation in technology, life sciences, and clean energy — represents a genuine just cause that creates economic value beyond financial returns [2]. Trinity's focus on the 'missing middle' of venture finance, between equity rounds and bank lending, fills a real market gap.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internally managed structure eliminates the external manager conflict common in BDCs, aligning the 106-person team directly with shareholder outcomes [2]. Glassdoor reviews are positive, citing a supportive culture that values hard work. However, the small team size creates key-person risk, and the 30% share dilution in 2025 could strain internal morale around equity-based compensation.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Trinity competes with Hercules Capital, Horizon Technology Finance, and other venture-focused BDCs, using these rivalries to improve underwriting discipline and diversify into new lending categories [1]. The expansion into equipment financing, warehouse lending, and sponsor finance demonstrates competitive learning. However, larger BDCs like Ares Capital have far more scale and resources.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Trinity has evolved from a pure venture debt provider to a diversified private credit platform spanning equipment financing, warehouse lending, and sponsor finance [2]. The shift to monthly dividends in 2026 shows willingness to adapt the distribution model. However, the BDC regulatory structure constrains radical strategic pivots, and the company remains dependent on the venture capital cycle.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internalize management (eliminating external fees) was a courageous shareholder-friendly move that differentiates Trinity from many BDCs [2]. However, the 30% share dilution in 2025 and payout ratio exceeding 100% suggest management is prioritizing growth and distribution over balance sheet strength, which is common but not courageous in the BDC space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Trinity Capital is a high-yield BDC offering 12.89% dividend yield with monthly distributions, backed by record net investment income of $144.1M in 2025 ($2.08/share) and 102% NII coverage of the dividend [1]. The internally managed structure eliminates external management fee conflicts common in the BDC space, directly aligning the 106-person team with shareholders. Total investment income grew 23.5% YoY, and Q1 2026 showed continued origination strength with $306M funded and $395M in new commitments [1]. At 7.6x forward P/E and an ROE of 14.1%, Trinity is attractively priced for income investors willing to accept venture credit risk. The diversification into equipment financing, warehouse lending, and sponsor finance reduces concentration risk beyond pure venture debt [2].</w:t>
      </w:r>
    </w:p>
    <w:p>
      <w:pPr>
        <w:spacing w:after="120"/>
      </w:pPr>
      <w:r>
        <w:rPr>
          <w:rFonts w:ascii="Calibri" w:hAnsi="Calibri"/>
          <w:b w:val="0"/>
          <w:color w:val="3A4A28"/>
          <w:sz w:val="20"/>
        </w:rPr>
        <w:t>The bear case centers on credit quality deterioration and structural BDC risks. Net realized losses of $64.3M in 2025 represent the ongoing cost of venture lending — these are not one-time events but a structural feature of the business model [3]. Watch-list investments climbed to 5.3% of portfolio in 2025, and earnings per share declined 30.5% YoY even as total investment income grew, reflecting the dilutive impact of 30% share growth (59.4M to 77.0M shares). The payout ratio of 112.76% exceeds NII on a GAAP basis, raising sustainability questions if credit losses accelerate [3]. The 50% share price volatility over 52 weeks reflects market uncertainty about venture credit quality in a rising rate environment. If venture capital funding contracts or startup failures increase, Trinity's portfolio could face elevated defaults that overwhelm NII growth. The BDC model inherently distributes most income, leaving thin capital buffers for credit cycles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Monthly dividend distributions at 12.89% yield with 102% NII coverage provide attractive income in a declining rate environment [1]</w:t>
      </w:r>
    </w:p>
    <w:p>
      <w:pPr>
        <w:spacing w:before="40" w:after="40"/>
        <w:ind w:left="283"/>
      </w:pPr>
      <w:r>
        <w:rPr>
          <w:rFonts w:ascii="Calibri" w:hAnsi="Calibri"/>
          <w:b/>
          <w:color w:val="4A6B25"/>
          <w:sz w:val="20"/>
        </w:rPr>
        <w:t xml:space="preserve">2. </w:t>
      </w:r>
      <w:r>
        <w:rPr>
          <w:rFonts w:ascii="Calibri" w:hAnsi="Calibri"/>
          <w:b w:val="0"/>
          <w:color w:val="3A4A28"/>
          <w:sz w:val="20"/>
        </w:rPr>
        <w:t>Q1 2026 origination strength ($306M funded, $395M new commitments) demonstrates continued deal flow growth and portfolio scaling [1]</w:t>
      </w:r>
    </w:p>
    <w:p>
      <w:pPr>
        <w:spacing w:before="40" w:after="40"/>
        <w:ind w:left="283"/>
      </w:pPr>
      <w:r>
        <w:rPr>
          <w:rFonts w:ascii="Calibri" w:hAnsi="Calibri"/>
          <w:b/>
          <w:color w:val="4A6B25"/>
          <w:sz w:val="20"/>
        </w:rPr>
        <w:t xml:space="preserve">3. </w:t>
      </w:r>
      <w:r>
        <w:rPr>
          <w:rFonts w:ascii="Calibri" w:hAnsi="Calibri"/>
          <w:b w:val="0"/>
          <w:color w:val="3A4A28"/>
          <w:sz w:val="20"/>
        </w:rPr>
        <w:t>Diversification into equipment financing, warehouse lending, and sponsor finance reduces concentration risk and broadens addressable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realized losses of $64.3M in 2025 and watch-list investments at 5.3% of portfolio signal credit quality pressure in the venture lending book [3]</w:t>
      </w:r>
    </w:p>
    <w:p>
      <w:pPr>
        <w:spacing w:before="40" w:after="40"/>
        <w:ind w:left="283"/>
      </w:pPr>
      <w:r>
        <w:rPr>
          <w:rFonts w:ascii="Calibri" w:hAnsi="Calibri"/>
          <w:b/>
          <w:color w:val="4A6B25"/>
          <w:sz w:val="20"/>
        </w:rPr>
        <w:t xml:space="preserve">2. </w:t>
      </w:r>
      <w:r>
        <w:rPr>
          <w:rFonts w:ascii="Calibri" w:hAnsi="Calibri"/>
          <w:b w:val="0"/>
          <w:color w:val="3A4A28"/>
          <w:sz w:val="20"/>
        </w:rPr>
        <w:t>30% share dilution (59.4M to 77.0M) erodes per-share NAV and EPS despite total income growth, with payout ratio at 112.76% on GAAP basis [3]</w:t>
      </w:r>
    </w:p>
    <w:p>
      <w:pPr>
        <w:spacing w:before="40" w:after="40"/>
        <w:ind w:left="283"/>
      </w:pPr>
      <w:r>
        <w:rPr>
          <w:rFonts w:ascii="Calibri" w:hAnsi="Calibri"/>
          <w:b/>
          <w:color w:val="4A6B25"/>
          <w:sz w:val="20"/>
        </w:rPr>
        <w:t xml:space="preserve">3. </w:t>
      </w:r>
      <w:r>
        <w:rPr>
          <w:rFonts w:ascii="Calibri" w:hAnsi="Calibri"/>
          <w:b w:val="0"/>
          <w:color w:val="3A4A28"/>
          <w:sz w:val="20"/>
        </w:rPr>
        <w:t>Venture credit cycle risk — if VC funding contracts or startup failures increase, portfolio defaults could accelerate beyond NII coverage capacity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Trinity Capital's venture lending business is largely insulated from AI disruption. The core competency — credit underwriting of growth-stage companies, relationship management with venture capital sponsors, and portfolio monitoring — requires human judgment that AI enhances but cannot replace [2]. As a capital provider to technology companies, Trinity is a net beneficiary of AI growth: more AI startups mean more lending opportunities. The internally managed structure and 106-person team keep overhead low. However, AI-driven credit analysis tools from fintech competitors could eventually pressure underwriting margins. AI Opportunity (1/1): Trinity actively finances AI-adjacent companies (e.g., Sortera Technologies for AI recycling) and benefits from the venture capital boom in AI/ML, creating natural deal flow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Trinity Capital Q4 2025 Earnings Release — record $144.1M annual NII, $39.9M Q4 NII, 15.3% ROE, February 2026</w:t>
      </w:r>
    </w:p>
    <w:p>
      <w:pPr>
        <w:spacing w:before="20" w:after="20"/>
        <w:ind w:left="170"/>
      </w:pPr>
      <w:r>
        <w:rPr>
          <w:rFonts w:ascii="Calibri" w:hAnsi="Calibri"/>
          <w:b/>
          <w:color w:val="4A6B25"/>
          <w:sz w:val="15"/>
        </w:rPr>
        <w:t xml:space="preserve">2. </w:t>
      </w:r>
      <w:r>
        <w:rPr>
          <w:rFonts w:ascii="Calibri" w:hAnsi="Calibri"/>
          <w:b w:val="0"/>
          <w:color w:val="3A4A28"/>
          <w:sz w:val="17"/>
        </w:rPr>
        <w:t>Trinity Capital company website, Glassdoor reviews, leadership profiles, Seeking Alpha BDC analysis —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24/7 Wall St., Yahoo Finance — Trinity Capital credit losses ($64.3M), watch-list (5.3%), share dilution analysis,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TRIN (Trinity Capital),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