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TRI</w:t>
      </w:r>
      <w:r>
        <w:rPr>
          <w:rFonts w:ascii="Calibri" w:hAnsi="Calibri"/>
          <w:b/>
          <w:color w:val="1A2010"/>
          <w:sz w:val="40"/>
        </w:rPr>
        <w:t xml:space="preserve">  Thomson Reuters Corporation</w:t>
      </w:r>
    </w:p>
    <w:p>
      <w:pPr>
        <w:spacing w:after="120"/>
      </w:pPr>
      <w:r>
        <w:rPr>
          <w:rFonts w:ascii="Calibri" w:hAnsi="Calibri"/>
          <w:b/>
          <w:color w:val="6E8450"/>
          <w:sz w:val="18"/>
        </w:rPr>
        <w:t>DIVIDEND SLEEVE · 2026-04-12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Canada</w:t>
      </w:r>
    </w:p>
    <w:p>
      <w:pPr>
        <w:spacing w:after="80"/>
      </w:pPr>
      <w:r>
        <w:rPr>
          <w:rFonts w:ascii="Calibri" w:hAnsi="Calibri"/>
          <w:b w:val="0"/>
          <w:color w:val="3A4A28"/>
          <w:sz w:val="20"/>
        </w:rPr>
        <w:t>Thomson Reuters provides AI-enabled information and workflow tools for legal, tax/accounting, risk/fraud, and news/media professionals. Its Big 3 segments — Legal Professionals, Corporates, and Tax/Audit/Accounting — combine proprietary content with generative AI research and automation capabilities.</w:t>
      </w:r>
    </w:p>
    <w:p>
      <w:r>
        <w:rPr>
          <w:rFonts w:ascii="Calibri" w:hAnsi="Calibri"/>
          <w:b/>
          <w:color w:val="6E8450"/>
          <w:sz w:val="18"/>
        </w:rPr>
        <w:t>26,000 Employees · https://www.thomsonreuters.com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Thomson Reuters has executed a multi-year transformation from data publisher to AI-native workflow company under CEO Steve Hasker, spending ~$500M on AI product build since 2023 plus billions on acquisitions (agentic AI assistants, e-invoicing, tax automation) — AI-enabled products now represent 28% of annualized contract value, up from 24% just one quarter earlier [1][2]. AI Deployment (2/2): AI-enabled revenue already quantifiable at 28% of ACV, with specific product names (CoCounsel, agentic assistants in tax and legal workflows) shipping at scale [1][2]. Market Share (2/2): Thomson Reuters is category leader in legal research, tax/accounting software, and regulatory intelligence with defensible proprietary content (Westlaw, Checkpoint, Practical Law); 2026 Big 3 organic growth guide of ~9.5% (Legal 8-9%, Corporates 9-11%, Tax/Audit/Accounting 11-13%) signals share capture [1]. Pipeline (1/2): 2026 organic revenue guide of 7.5-8.0% with 100bps adjusted EBITDA margin expansion from 39.2%, plus FCF of ~$2.1B, provides solid forward visibility, and ongoing 'build, partner, buy' AI roadmap extends visibility but specific next-gen product dates are less discrete [1][2]. R&amp;D Intensity (0/1): R&amp;D as a percentage of revenue is solid but not industry-leading versus pure software peers; still, the $500M+ AI spend is meaningful in absolute terms.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Thomson Reuters articulates a specific and thoughtful purpose around 'informing the way forward' for legal, tax, and news professionals, and under Hasker has been explicit about AI-enabled trust infrastructure — a differentiated positioning not interchangeable with data-publishing peers [2]. Community Impact (1/2): Thomson Reuters Foundation runs journalism and rule-of-law programs globally and the company publishes a full ESG report — above-average but not distinctive-at-scale philanthropy. Employee Retention (1/2): Glassdoor ratings are solid and the company's AI upskilling initiative (enterprise-wide AI learning day starting April 2023) is cited as a model for workforce adaptation [2]; Hasker is praised for cutting executive perks early in his tenure and setting a humble-leadership tone. Insider Buying (1/2): Steady dividend growth (22+ year history in Canadian dollar dividends) and disciplined capital allocation are positives, but net open-market insider buying is limited; The Woodbridge Company (Thomson family) remains a ~67% controlling shareholder with long-term orientation.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Thomson Reuters' financial profile is high quality. FY2025 revenue ~$7.4B rising to guided $8.06B in 2026 (+9.3%); organic growth guide of 7.5-8.0% with adjusted EBITDA margin expanding 100bps from 39.2% to ~40.2%; FCF forecast of ~$2.1B in 2026 (up from $1.95B in 2025) [1]. Forward P/E at the current ~$150 share price on statutory 2026 EPS of ~$4.06 is ~37x — rich, reflecting quality premium and AI growth optionality [3]. Dividend yield ~2.6% USD / 2.72% CAD with ~22 years of consecutive payment and multi-year CAD growth [3]. Balance sheet is investment grade with moderate leverage consistent with an information-services mid-cap. Liquidity is deep: TRI is in the S&amp;P/TSX 60 and S&amp;P 500, with healthy institutional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Thomson Reuters is playing a serious infinite game under Steve Hasker. The Thomson family's Woodbridge Company (~67% controlling shareholder) provides multi-generational patience, the Just Cause around informing the professional economy has held across multiple technology transitions, and the $500M+ AI commitment is existential flexibility in action. Culture is solid. Still, the business is not yet fully tested in a live AI-disruption cycle, keeping the score in MIXED rather than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Thomson Reuters' purpose around informing legal, tax, and news professionals is genuine, long-standing (Reuters founded 1851, Thomson 1934, merger 2008), and has survived multiple media/technology transitions [2]. Under Hasker it has been sharpened around trust, accuracy, and AI-enabled workflow — differentiated from peers. Not yet at NVDA/Apple multi-decade validation level but meaningfully above average.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ratings are solid and the company ran an enterprise-wide AI learning day in April 2023 to upskill its 26,000 employees — demonstrating investment in people over fear-based AI rollout [2]. CEO Hasker's humble leadership tone (cutting executive perks early) is a trust signal. Not evidence of exceptional trust, but clearly above average for a large information-services firm.</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Hasker is explicit about the AI disruption threat and has publicly framed his 'build, partner, buy' strategy as a response to how LLMs are transforming how professionals access information — a Sinek-style acknowledgment that rivals (OpenAI, Harvey, Anthropic) are pushing TR to improve [2]. That said, the competitive language is fairly standard rather than explicitly framing rivals as sources of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2018 Refinitiv spinoff/sale and the ongoing pivot from data publisher to AI-native workflow company is a textbook existential pivot, with ~$500M in AI build since 2023 plus multi-billion acquisitions to add agentic assistants, e-invoicing, and tax automation [1][2]. Demonstrates real willingness to reshape the core business around a new capability. Impact is still unfolding, which tempers the score.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Hasker's decision to invest $500M+ into AI product development and billions on acquisitions while maintaining 100bps margin expansion and a steady dividend required real courage — many legacy-content peers have been more defensive [1][2]. The controlling shareholder (Woodbridge/Thomson family) enables multi-decade capital allocation patience, which is rare among public companies. Cutting executive perks early signals principled capital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Thomson Reuters is a high-quality AI-transforming information-services compounder under CEO Steve Hasker, guiding to 2026 organic revenue growth of 7.5-8.0% with 100bps of EBITDA margin expansion from 39.2%, and free cash flow of ~$2.1B (up from $1.95B in 2025) [1]. The bull case centers on AI-enabled products already at 28% of annualized contract value (up from 24% in one quarter) and the company's $500M+ AI investment plus multi-billion-dollar acquisitions of agentic AI assistants, e-invoicing, and tax automation capabilities [1][2]. Proprietary, regulated content in Westlaw, Checkpoint, and Practical Law is exactly the kind of structured, citable data LLMs need but cannot legally replicate, creating a moat against AI disruption. The Woodbridge Company (Thomson family) ~67% controlling stake provides long-term patient capital, and the ~22-year dividend history with ~2.6% yield offers income for long-term holders [3].</w:t>
      </w:r>
    </w:p>
    <w:p>
      <w:pPr>
        <w:spacing w:after="120"/>
      </w:pPr>
      <w:r>
        <w:rPr>
          <w:rFonts w:ascii="Calibri" w:hAnsi="Calibri"/>
          <w:b w:val="0"/>
          <w:color w:val="3A4A28"/>
          <w:sz w:val="20"/>
        </w:rPr>
        <w:t>The bear case starts with valuation — TRI trades around $150 at ~37x forward P/E and ~4.5x PEG, very rich even for a quality compounder [3]. AI remains a double-edged sword: while TR's proprietary content is defensible, AI-native legal-tech competitors like Harvey and Hebbia are targeting Westlaw's workflow layer, and CEO Hasker himself has publicly framed the 'expensive content retaining value' question as the central strategic challenge [2]. The Big 3 segment growth of ~9.5% is healthy but premium-priced, so any deceleration would compress multiples. The Inspire Insight score of -49 reflects MISALIGNED classification due to 'LGBT Activism' attribution, which is a consideration for faith-aligned portfolios but does NOT factor into the overall IOWN score per framework rules. Currency exposure (Canadian base, USD reporting) adds modest FX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AI-enabled products at 28% of annualized contract value (up from 24% in one quarter) — if this trajectory holds, AI could drive meaningful re-rating by 2027 [1]</w:t>
      </w:r>
    </w:p>
    <w:p>
      <w:pPr>
        <w:spacing w:before="40" w:after="40"/>
        <w:ind w:left="283"/>
      </w:pPr>
      <w:r>
        <w:rPr>
          <w:rFonts w:ascii="Calibri" w:hAnsi="Calibri"/>
          <w:b/>
          <w:color w:val="4A6B25"/>
          <w:sz w:val="20"/>
        </w:rPr>
        <w:t xml:space="preserve">2. </w:t>
      </w:r>
      <w:r>
        <w:rPr>
          <w:rFonts w:ascii="Calibri" w:hAnsi="Calibri"/>
          <w:b w:val="0"/>
          <w:color w:val="3A4A28"/>
          <w:sz w:val="20"/>
        </w:rPr>
        <w:t>2026 organic revenue growth of 7.5-8.0% with 100bps EBITDA margin expansion from 39.2% and FCF of ~$2.1B, supporting capital returns and further AI M&amp;A [1]</w:t>
      </w:r>
    </w:p>
    <w:p>
      <w:pPr>
        <w:spacing w:before="40" w:after="40"/>
        <w:ind w:left="283"/>
      </w:pPr>
      <w:r>
        <w:rPr>
          <w:rFonts w:ascii="Calibri" w:hAnsi="Calibri"/>
          <w:b/>
          <w:color w:val="4A6B25"/>
          <w:sz w:val="20"/>
        </w:rPr>
        <w:t xml:space="preserve">3. </w:t>
      </w:r>
      <w:r>
        <w:rPr>
          <w:rFonts w:ascii="Calibri" w:hAnsi="Calibri"/>
          <w:b w:val="0"/>
          <w:color w:val="3A4A28"/>
          <w:sz w:val="20"/>
        </w:rPr>
        <w:t>Big 3 segment growth — Legal 8-9%, Corporates 9-11%, Tax/Audit/Accounting 11-13% — demonstrates the AI-enhanced workflow value proposition is winning in enterprise budgets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Rich valuation — ~37x forward P/E and ~4.5x PEG leaves little margin for growth deceleration or AI-native competitor encroachment [3]</w:t>
      </w:r>
    </w:p>
    <w:p>
      <w:pPr>
        <w:spacing w:before="40" w:after="40"/>
        <w:ind w:left="283"/>
      </w:pPr>
      <w:r>
        <w:rPr>
          <w:rFonts w:ascii="Calibri" w:hAnsi="Calibri"/>
          <w:b/>
          <w:color w:val="4A6B25"/>
          <w:sz w:val="20"/>
        </w:rPr>
        <w:t xml:space="preserve">2. </w:t>
      </w:r>
      <w:r>
        <w:rPr>
          <w:rFonts w:ascii="Calibri" w:hAnsi="Calibri"/>
          <w:b w:val="0"/>
          <w:color w:val="3A4A28"/>
          <w:sz w:val="20"/>
        </w:rPr>
        <w:t>AI-native legal/tax competitors — Harvey, Hebbia, and OpenAI-powered alternatives target Westlaw and Checkpoint workflows; Hasker himself has called this the core strategic challenge [2]</w:t>
      </w:r>
    </w:p>
    <w:p>
      <w:pPr>
        <w:spacing w:before="40" w:after="40"/>
        <w:ind w:left="283"/>
      </w:pPr>
      <w:r>
        <w:rPr>
          <w:rFonts w:ascii="Calibri" w:hAnsi="Calibri"/>
          <w:b/>
          <w:color w:val="4A6B25"/>
          <w:sz w:val="20"/>
        </w:rPr>
        <w:t xml:space="preserve">3. </w:t>
      </w:r>
      <w:r>
        <w:rPr>
          <w:rFonts w:ascii="Calibri" w:hAnsi="Calibri"/>
          <w:b w:val="0"/>
          <w:color w:val="3A4A28"/>
          <w:sz w:val="20"/>
        </w:rPr>
        <w:t>Faith-alignment misalignment — Inspire Insight score of -49 (MISALIGNED) on 'LGBT Activism' attribution could exclude TRI from faith-focused mandates, though this does NOT factor into overall IOWN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Thomson Reuters is one of the more interesting AI-resilience cases — its proprietary legal, tax, and regulatory content (Westlaw, Practical Law, Checkpoint) is exactly the kind of structured, citable, regulated data that LLMs need but cannot legally replicate, and its deep customer workflow integrations create switching costs [2]. CEO Steve Hasker's 'core strategic challenge is ensuring that Thomson Reuters' expensive content retains its value as LLMs transform professionals' ability to access and interpret information' — management is fully aware of the AI disruption risk and has responded with $500M+ AI investment and multi-billion-dollar acquisitions [2]. Some exposure to AI-native legal-tech competitors (Harvey, Hebbia) keeps this from an 8-9. AI Opportunity (1/1): AI-enabled products represent 28% of annualized contract value (up from 24% in just one quarter) — quantifiable, meaningful, and growing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Thomson Reuters Q4 and Full-Year 2025 Earnings Release and 2026 Outlook (organic revenue 7.5-8.0%, Big 3 ~9.5%, adjusted EBITDA margin expanding 100bps from 39.2%, FCF ~$2.1B, AI ACV 28%), February 2026</w:t>
      </w:r>
    </w:p>
    <w:p>
      <w:pPr>
        <w:spacing w:before="20" w:after="20"/>
        <w:ind w:left="170"/>
      </w:pPr>
      <w:r>
        <w:rPr>
          <w:rFonts w:ascii="Calibri" w:hAnsi="Calibri"/>
          <w:b/>
          <w:color w:val="4A6B25"/>
          <w:sz w:val="15"/>
        </w:rPr>
        <w:t xml:space="preserve">2. </w:t>
      </w:r>
      <w:r>
        <w:rPr>
          <w:rFonts w:ascii="Calibri" w:hAnsi="Calibri"/>
          <w:b w:val="0"/>
          <w:color w:val="3A4A28"/>
          <w:sz w:val="17"/>
        </w:rPr>
        <w:t>Entrepreneur / The Logic / Semafor / Fortune / Acuity profiles of CEO Steve Hasker and the $500M+ AI build plus multi-billion-dollar AI acquisitions strategy, 2024-2026</w:t>
      </w:r>
    </w:p>
    <w:p>
      <w:pPr>
        <w:spacing w:before="20" w:after="20"/>
        <w:ind w:left="170"/>
      </w:pPr>
      <w:r>
        <w:rPr>
          <w:rFonts w:ascii="Calibri" w:hAnsi="Calibri"/>
          <w:b/>
          <w:color w:val="4A6B25"/>
          <w:sz w:val="15"/>
        </w:rPr>
        <w:t xml:space="preserve">3. </w:t>
      </w:r>
      <w:r>
        <w:rPr>
          <w:rFonts w:ascii="Calibri" w:hAnsi="Calibri"/>
          <w:b w:val="0"/>
          <w:color w:val="3A4A28"/>
          <w:sz w:val="17"/>
        </w:rPr>
        <w:t>Yahoo Finance, Macrotrends, Dividend.com, MarketBeat — TRI price ~$150, dividend $0.66 USD / $0.90 CAD, yield ~2.6% USD / 2.72% CAD, 22+ year dividend history, analyst consensus BUY with $152.73 price target,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Thomson Reuters Foundation (rule-of-law and journalism programs) and Thomson Reuters ESG Report; Refinitiv/Thomson Reuters ESG methodology references</w:t>
      </w:r>
    </w:p>
    <w:p>
      <w:pPr>
        <w:spacing w:before="20" w:after="20"/>
        <w:ind w:left="170"/>
      </w:pPr>
      <w:r>
        <w:rPr>
          <w:rFonts w:ascii="Calibri" w:hAnsi="Calibri"/>
          <w:b/>
          <w:color w:val="4A6B25"/>
          <w:sz w:val="15"/>
        </w:rPr>
        <w:t xml:space="preserve">5. </w:t>
      </w:r>
      <w:r>
        <w:rPr>
          <w:rFonts w:ascii="Calibri" w:hAnsi="Calibri"/>
          <w:b w:val="0"/>
          <w:color w:val="3A4A28"/>
          <w:sz w:val="17"/>
        </w:rPr>
        <w:t>Inspire Insight — TRI inspire impact score -49 (MISALIGNED) with LGBT Activism negative attribution,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