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TRMB</w:t>
      </w:r>
      <w:r>
        <w:rPr>
          <w:rFonts w:ascii="Calibri" w:hAnsi="Calibri"/>
          <w:b/>
          <w:color w:val="1A2010"/>
          <w:sz w:val="40"/>
        </w:rPr>
        <w:t xml:space="preserve">  Trimble Inc.</w:t>
      </w:r>
    </w:p>
    <w:p>
      <w:pPr>
        <w:spacing w:after="120"/>
      </w:pPr>
      <w:r>
        <w:rPr>
          <w:rFonts w:ascii="Calibri" w:hAnsi="Calibri"/>
          <w:b/>
          <w:color w:val="6E8450"/>
          <w:sz w:val="18"/>
        </w:rPr>
        <w:t>GROWTH SLEEVE · 2026-04-19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Trimble provides technology solutions connecting office professionals and field workers across construction, geospatial, transportation, and agriculture industries. The company is transitioning to a recurring-revenue SaaS model, with ARR reaching a record $2.39B in Q4 2025. Its platform integrates positioning, modeling, data analytics, and connectivity technologies.</w:t>
      </w:r>
    </w:p>
    <w:p>
      <w:r>
        <w:rPr>
          <w:rFonts w:ascii="Calibri" w:hAnsi="Calibri"/>
          <w:b/>
          <w:color w:val="6E8450"/>
          <w:sz w:val="18"/>
        </w:rPr>
        <w:t>11,500 Employees · https://www.trimble.com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Trimble has executed a significant multi-year transformation from hardware-centric to software/SaaS, divesting non-core businesses and driving organic ARR growth of 14% in Q4 2025 [1]. The shift to a connect-and-scale platform model represents a meaningful business model evolution. AI Deployment (1/2): Trimble sits on a rich corpus of vertical data — a trillion dollars in construction managed and tens of billions in freight tracked — positioning it to build domain-specific AI models, though quantified AI revenue has not been disclosed [2]. Market Share (1/2): Trimble holds leadership positions in construction technology and geospatial solutions but faces strong competition from Autodesk, Hexagon, and Topcon across its verticals [1]. Pipeline (1/2): 2026 guidance projects $3.81B-$3.91B revenue (7.5% growth at midpoint) with continued ARR expansion and non-GAAP EPS of $3.42-$3.62, indicating a visible growth trajectory [1]. R&amp;D Intensity (1/1): Trimble invests meaningfully in R&amp;D relative to its scientific instruments peer group, with dedicated innovation leadership under VP of Technology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Trimble's stated purpose — 'Transforming the way the world works' — is specific and thoughtful, connecting technology to improving productivity in construction, agriculture, and infrastructure industries. It reflects genuine intentionality and differentiates from generic tech missions [2]. Community Impact (1/2): Trimble publishes sustainability reports aligned with SASB standards and UN SDGs, with commitments to 'Building Resilience, Empowering People, and Leading with Integrity,' though specific charitable dollar amounts are not prominently disclosed [3]. Employee Retention (1/2): Glassdoor rating of 4.1/5 with 75% recommending to a friend suggests above-average employee satisfaction; the executive team earns an A+ rating on Comparably, ranked in the top 5% of similar-size companies [2]. Insider Buying (0/2): CEO Robert Painter has been a net insider seller, with consistent monthly sales of 7,500 shares ($67-$81/share) throughout late 2025 and early 2026, totaling over $2.6M in sales versus stock award grants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Trimble's financial profile reflects a company mid-transition to SaaS. D/E of 26.7% is conservatively capitalized, and Forward P/E of 17.1x is attractive for a tech company guiding to 7.5% revenue growth [1][5]. However, ROE of 7.3% is well below the 15% target, reflecting the margin compression from the business model transition. Profit margin of 11.8% lags the 20% target, though non-GAAP operating margins reached a record 32.3% in Q4 2025 (GAAP distorted by transition costs) [1]. Revenue declined 1.4% YoY and the 3-year CAGR is approximately -0.8%, dragged by divestitures. PEG ratio of 3.88 is elevated. Liquidity is strong: 2.1M avg daily volume × $69.29 = $145.5M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Trimble under CEO Rob Painter is executing a patient multi-year transformation from hardware to software/SaaS, sacrificing near-term revenue growth for long-term recurring revenue quality. The 'Transforming the way the world works' purpose has guided strategic divestitures and platform investments, though the company has not yet been tested through a severe crisis under current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Trimble's cause — 'Transforming the way the world works' — is genuine and connects technology to improving productivity in construction, agriculture, and infrastructure [2]. It has guided the divestiture of non-core hardware businesses in favor of a connected software platform, demonstrating that strategic decisions trace back to the purpose. However, it hasn't been validated across decades of crisis.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4.1/5 rating with 75% recommendation rate and A+ executive team rating on Comparably indicate a generally positive culture [2]. The company has undergone significant restructuring during the SaaS transition (headcount reduced from ~12,000 to 11,500) which may have created some organizational uncertainty. No major cultural red flags but also no standout evidence of exceptional trust.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Trimble competes against Autodesk, Hexagon, and Topcon and has demonstrated a learning-oriented competitive posture — the company's strategic partnerships and open platform approach (Connect &amp; Scale) suggest it views competition as motivation to improve rather than a zero-sum war [2]. Management commentary focuses on expanding the addressable market rather than crushing rivals.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multi-year transformation from hardware-centric to software/SaaS — including divesting profitable hardware businesses — demonstrates meaningful strategic flexibility. Trimble sold its agriculture hardware and mobility businesses to focus on higher-margin recurring revenue, accepting short-term revenue decline (-3% in 2025) for long-term model improvement [1]. This is evolutionary rather than transformative.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Painter has shown courage by accepting multi-year revenue decline to execute the SaaS transition, divesting profitable hardware segments, and investing in platform capabilities during a period of flat organic growth [1]. The decision to prioritize ARR quality over top-line growth required conviction, especially as the stock dropped 20% from its 52-week high.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Trimble is executing a compelling SaaS transformation that is reshaping its financial profile. Q4 2025 delivered record ARR of $2.39B (up 14% organically), record gross margins of 74.6%, and record non-GAAP operating margins of 32.3% [1]. The 2026 guidance of $3.81B-$3.91B revenue (7.5% growth) with non-GAAP EPS of $3.42-$3.62 reflects improving earnings power as the model shift matures. At 17.1x forward P/E, the stock is attractively priced for a software-transitioning company with deep vertical moats in construction ($1T+ managed), agriculture, and geospatial markets [1][5]. The domain-specific data assets position Trimble as an AI beneficiary, and the conservative balance sheet (D/E 26.7%) provides financial flexibility for continued investment.</w:t>
      </w:r>
    </w:p>
    <w:p>
      <w:pPr>
        <w:spacing w:after="120"/>
      </w:pPr>
      <w:r>
        <w:rPr>
          <w:rFonts w:ascii="Calibri" w:hAnsi="Calibri"/>
          <w:b w:val="0"/>
          <w:color w:val="3A4A28"/>
          <w:sz w:val="20"/>
        </w:rPr>
        <w:t>The bear case centers on execution risk in the SaaS transition and growth sustainability. GAAP revenue declined 3% in FY2025 and 1.4% in Q4, meaning organic growth (6%) is masking divestitures rather than accelerating [1]. The PEG ratio of 3.88 suggests the market sees limited near-term growth relative to valuation. ROE of 7.3% is well below tech-sector norms, and GAAP profit margin of 11.8% reflects ongoing transition costs that may persist. CEO Painter's consistent insider selling ($2.6M+ in the last 6 months) raises alignment questions [4]. Construction and agriculture end markets are cyclical and sensitive to interest rates and commodity prices, which could pressure ARR growth if customers defer digital investments. Competition from Autodesk's construction cloud and emerging AI-native startups could erode Trimble's position in key verticals.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ARR trajectory toward $2.7B+ in 2026 as SaaS conversion accelerates, with 13% guided ARR growth driving margin expansion and earnings visibility [1]</w:t>
      </w:r>
    </w:p>
    <w:p>
      <w:pPr>
        <w:spacing w:before="40" w:after="40"/>
        <w:ind w:left="283"/>
      </w:pPr>
      <w:r>
        <w:rPr>
          <w:rFonts w:ascii="Calibri" w:hAnsi="Calibri"/>
          <w:b/>
          <w:color w:val="4A6B25"/>
          <w:sz w:val="20"/>
        </w:rPr>
        <w:t xml:space="preserve">2. </w:t>
      </w:r>
      <w:r>
        <w:rPr>
          <w:rFonts w:ascii="Calibri" w:hAnsi="Calibri"/>
          <w:b w:val="0"/>
          <w:color w:val="3A4A28"/>
          <w:sz w:val="20"/>
        </w:rPr>
        <w:t>Domain-specific AI model deployment leveraging proprietary data corpus from $1T+ construction managed and billions in freight tracked, potentially unlocking new revenue streams [2]</w:t>
      </w:r>
    </w:p>
    <w:p>
      <w:pPr>
        <w:spacing w:before="40" w:after="40"/>
        <w:ind w:left="283"/>
      </w:pPr>
      <w:r>
        <w:rPr>
          <w:rFonts w:ascii="Calibri" w:hAnsi="Calibri"/>
          <w:b/>
          <w:color w:val="4A6B25"/>
          <w:sz w:val="20"/>
        </w:rPr>
        <w:t xml:space="preserve">3. </w:t>
      </w:r>
      <w:r>
        <w:rPr>
          <w:rFonts w:ascii="Calibri" w:hAnsi="Calibri"/>
          <w:b w:val="0"/>
          <w:color w:val="3A4A28"/>
          <w:sz w:val="20"/>
        </w:rPr>
        <w:t>Non-GAAP operating margin expansion above 33% as the hardware-to-software transition matures and recurring revenue mix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and agriculture end-market cyclicality — rising interest rates or commodity price declines could slow customer adoption of Trimble's digital platforms, pressuring ARR growth [1]</w:t>
      </w:r>
    </w:p>
    <w:p>
      <w:pPr>
        <w:spacing w:before="40" w:after="40"/>
        <w:ind w:left="283"/>
      </w:pPr>
      <w:r>
        <w:rPr>
          <w:rFonts w:ascii="Calibri" w:hAnsi="Calibri"/>
          <w:b/>
          <w:color w:val="4A6B25"/>
          <w:sz w:val="20"/>
        </w:rPr>
        <w:t xml:space="preserve">2. </w:t>
      </w:r>
      <w:r>
        <w:rPr>
          <w:rFonts w:ascii="Calibri" w:hAnsi="Calibri"/>
          <w:b w:val="0"/>
          <w:color w:val="3A4A28"/>
          <w:sz w:val="20"/>
        </w:rPr>
        <w:t>SaaS transition execution risk — GAAP revenue has declined for two consecutive years as divestitures offset organic growth, and the company must prove organic revenue acceleration in 2026-2027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Autodesk Construction Cloud and AI-native startups — Trimble's vertical software moats could erode if competitors build comparable domain-specific solutions faster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Trimble operates in physical-world industries — construction, agriculture, transportation, geospatial — where AI cannot replace the need for precision positioning, site management, and field operations. The company's deep vertical data corpus (a trillion dollars of construction managed, billions in freight tracked) creates proprietary data moats that generic AI cannot replicate [2]. However, some Trimble software workflows (design, estimating, project management) face partial substitution risk from AI-native competitors building on foundation models. Analysts view Trimble as an AI beneficiary rather than a victim, given its domain-specific data advantage [1]. AI Opportunity (1/1): Trimble is actively developing domain-specific AI models leveraging its vertical data assets, with AI integration across its construction and geospatial platforms already in progress, contributing to the 14% organic ARR growth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Trimble Q4 and Full Year 2025 Earnings Release — $969.8M Q4 revenue, $2.39B ARR record, 2026 guidance, February 10, 2026</w:t>
      </w:r>
    </w:p>
    <w:p>
      <w:pPr>
        <w:spacing w:before="20" w:after="20"/>
        <w:ind w:left="170"/>
      </w:pPr>
      <w:r>
        <w:rPr>
          <w:rFonts w:ascii="Calibri" w:hAnsi="Calibri"/>
          <w:b/>
          <w:color w:val="4A6B25"/>
          <w:sz w:val="15"/>
        </w:rPr>
        <w:t xml:space="preserve">2. </w:t>
      </w:r>
      <w:r>
        <w:rPr>
          <w:rFonts w:ascii="Calibri" w:hAnsi="Calibri"/>
          <w:b w:val="0"/>
          <w:color w:val="3A4A28"/>
          <w:sz w:val="17"/>
        </w:rPr>
        <w:t>Trimble corporate website — About, Executive Leadership, Innovation strategy,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Trimble Sustainability Report and ESG commitments — SASB/UN SDG alignment,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Trimble insider transactions — SEC filings via Yahoo Finance, CEO Painter net selling pattern,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TRMB (Trimble Inc.),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