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TRON</w:t>
      </w:r>
      <w:r>
        <w:rPr>
          <w:rFonts w:ascii="Calibri" w:hAnsi="Calibri"/>
          <w:b/>
          <w:color w:val="1A2010"/>
          <w:sz w:val="40"/>
        </w:rPr>
        <w:t xml:space="preserve">  Tron Inc.</w:t>
      </w:r>
    </w:p>
    <w:p>
      <w:pPr>
        <w:spacing w:after="120"/>
      </w:pPr>
      <w:r>
        <w:rPr>
          <w:rFonts w:ascii="Calibri" w:hAnsi="Calibri"/>
          <w:b/>
          <w:color w:val="6E8450"/>
          <w:sz w:val="18"/>
        </w:rPr>
        <w:t>GROWTH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Tron Inc. (formerly SRM Entertainment) designs, manufactures, and sells toys and souvenirs to theme parks and entertainment venues in the US, China, Japan, and Europe. In 2025, the company rebranded via a reverse merger to become a publicly traded crypto treasury vehicle holding TRX tokens, with Justin Sun as Global Advisor.</w:t>
      </w:r>
    </w:p>
    <w:p>
      <w:r>
        <w:rPr>
          <w:rFonts w:ascii="Calibri" w:hAnsi="Calibri"/>
          <w:b/>
          <w:color w:val="6E8450"/>
          <w:sz w:val="18"/>
        </w:rPr>
        <w:t>https://www.srmentertainment.com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 core toy/souvenir business generated just $4.74M revenue in 2025 with $16.8M in losses — no meaningful product launches or market pivots in the legacy business [1]. The rebrand to Tron Inc. was a corporate identity change, not a product innovation. AI Deployment (0/2): No AI products, no AI strategy, no AI-driven cost savings or revenue generation evident in any filings or public statements [2]. Market Share (1/2): SRM has niche relationships with major theme parks (Disney, Universal) for custom merchandise, providing some category relevance, but market share is negligible given sub-$5M annual revenue [1]. Pipeline (0/2): No next-generation products announced; the strategic pivot has been entirely toward crypto treasury management via TRX token staking, not product development [3]. R&amp;D Intensity (1/1): Relative to its tiny revenue base, the company invests in product design for theme park merchandise, though absolute R&amp;D spend is minimal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website describes Tron Inc. as an 'innovative developer of toys, souvenirs and other merchandise' — a generic description indistinguishable from any novelty manufacturer [2]. The crypto pivot muddies any coherent purpose. Community Impact (0/2): No charitable programs, foundation, or community investment initiatives found in any public materials [3]. Employee Retention (0/2): No employee count disclosed, no retention data, no Glassdoor presence to evaluate — the company appears to have minimal full-time staff [2]. Insider Buying (1/2): Justin Sun's involvement as Global Advisor includes significant token-based exposure through the $100M TRX staking arrangement, though this is structured corporate investment rather than open-market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Tron Inc.'s financial profile is bifurcated: the legacy toy business generates sub-$5M revenue with 0% profit margins and negative ROE of -15.6%, while the crypto treasury adds $239M in equity via TRX token holdings [1][4]. D/E of 0.3% is exceptionally low given the company holds $10.5M cash against $684K debt. However, the operating business burns cash — free cash flow was -$574K and operating cash flow was -$1.4M [4]. Revenue growth of 30.7% YoY is inflated from a tiny $4.3M base to $4.74M. Q1 2026 revenue of $1.2M with -$0.21 EPS shows continued operational weakness [1]. No forward P/E or PEG available due to negative earnings. Beta of 8.78 reflects extreme volatility. Liquidity floor passed: 1.1M avg volume × $1.92 = $2.1M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Tron Inc. exemplifies finite game thinking — the reverse merger with SRM Entertainment was a financial engineering exercise to create a publicly traded crypto treasury vehicle, not a purpose-driven strategic transformation. The company's identity has shifted from toy manufacturing to TRX token management without a coherent long-term vision for either business.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pts). The company exists to hold TRX tokens and sell theme park merchandise — there is no articulated vision of a better future state [2][3]. The rebranding from SRM Entertainment to Tron Inc. was driven by financial opportunity rather than purpose. CEO Rich Miller's stated aim to 'build shareholder value through innovation and strategic leadership' is a generic financial objective, not a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 pts). The company underwent a fundamental identity change in 2025 with the reverse merger, restructured its board to include Justin Sun's associates, and has no publicly available employee count or cultural data [2][3]. Congressional inquiries about the deal's legitimacy and the SEC's civil fraud case against Justin Sun create governance uncertainty that undermines organizational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infinite competitive mindset evident (0 pts). The company does not discuss competitors in terms of learning or improvement. The crypto treasury strategy is positioned as first-mover advantage ('largest amount of TRX tokens among publicly traded entities') — language of winning rather than improving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The transformation from a small toy manufacturer to a crypto treasury vehicle represents a dramatic strategic pivot, though it was driven by financial opportunity rather than a Just Cause [2][3]. The company demonstrated willingness to fundamentally reinvent its corporate identity, even if the motivation was speculative rather than purposeful.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The decision to stake $100M in TRX tokens and fundamentally rebrand the company was a bold bet that put the entire corporate identity at risk [3]. Whether this constitutes genuine leadership courage or speculative opportunism is debatable, but management did commit to a high-risk strategic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Tron Inc. offers a unique — and highly speculative — value proposition as a publicly traded crypto treasury vehicle holding $100M+ in TRX tokens while operating a small theme park merchandise business generating $4.74M in annual revenue [1]. The Q3 2025 financial turnaround (net income of $12.17M vs. -$1.13M prior year) was driven entirely by digital asset appreciation, not operating improvements [1]. Revenue growth of 30.7% YoY from a tiny base and the company's niche position supplying custom merchandise to major theme parks (Disney, Universal) provide a modest operational floor. The TRX staking arrangement generates yield income, and the company's equity position exceeds $239M on paper [1].</w:t>
      </w:r>
    </w:p>
    <w:p>
      <w:pPr>
        <w:spacing w:after="120"/>
      </w:pPr>
      <w:r>
        <w:rPr>
          <w:rFonts w:ascii="Calibri" w:hAnsi="Calibri"/>
          <w:b w:val="0"/>
          <w:color w:val="3A4A28"/>
          <w:sz w:val="20"/>
        </w:rPr>
        <w:t>The bear case is severe. The core operating business is unprofitable with 0% profit margin, negative ROE of -15.6%, and negative operating cash flow [4]. The company's value is almost entirely dependent on TRX token prices, creating extreme cryptocurrency exposure with a beta of 8.78. Justin Sun, the de facto strategic architect, faces an active SEC civil fraud lawsuit filed in 2023, and Congressional members have raised national security concerns about the deal's structure involving Trump-linked Dominari Securities [3]. The stock has declined 85% from its 52-week high of $12.80 to $1.92, reflecting evaporating speculative enthusiasm. With no forward P/E, no earnings visibility, and a business model that is neither a viable toy company nor a traditional crypto firm, TRON lacks the fundamental qualities IOWN seeks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TRX token price appreciation — the company's $100M+ TRX treasury means any significant crypto rally would materially increase book value and reported earnings [1]</w:t>
      </w:r>
    </w:p>
    <w:p>
      <w:pPr>
        <w:spacing w:before="40" w:after="40"/>
        <w:ind w:left="283"/>
      </w:pPr>
      <w:r>
        <w:rPr>
          <w:rFonts w:ascii="Calibri" w:hAnsi="Calibri"/>
          <w:b/>
          <w:color w:val="4A6B25"/>
          <w:sz w:val="20"/>
        </w:rPr>
        <w:t xml:space="preserve">2. </w:t>
      </w:r>
      <w:r>
        <w:rPr>
          <w:rFonts w:ascii="Calibri" w:hAnsi="Calibri"/>
          <w:b w:val="0"/>
          <w:color w:val="3A4A28"/>
          <w:sz w:val="20"/>
        </w:rPr>
        <w:t>Theme park merchandise contract expansion — new relationships with entertainment venues or expanded product lines could grow the sub-$5M operating revenue base [1]</w:t>
      </w:r>
    </w:p>
    <w:p>
      <w:pPr>
        <w:spacing w:before="40" w:after="40"/>
        <w:ind w:left="283"/>
      </w:pPr>
      <w:r>
        <w:rPr>
          <w:rFonts w:ascii="Calibri" w:hAnsi="Calibri"/>
          <w:b/>
          <w:color w:val="4A6B25"/>
          <w:sz w:val="20"/>
        </w:rPr>
        <w:t xml:space="preserve">3. </w:t>
      </w:r>
      <w:r>
        <w:rPr>
          <w:rFonts w:ascii="Calibri" w:hAnsi="Calibri"/>
          <w:b w:val="0"/>
          <w:color w:val="3A4A28"/>
          <w:sz w:val="20"/>
        </w:rPr>
        <w:t>Resolution of SEC civil fraud case against Justin Sun — legal clarity could reduce governance discount and stabilize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Cryptocurrency price collapse — a TRX price decline of 50%+ would evaporate most of the company's reported equity and could trigger liquidity concerns [3]</w:t>
      </w:r>
    </w:p>
    <w:p>
      <w:pPr>
        <w:spacing w:before="40" w:after="40"/>
        <w:ind w:left="283"/>
      </w:pPr>
      <w:r>
        <w:rPr>
          <w:rFonts w:ascii="Calibri" w:hAnsi="Calibri"/>
          <w:b/>
          <w:color w:val="4A6B25"/>
          <w:sz w:val="20"/>
        </w:rPr>
        <w:t xml:space="preserve">2. </w:t>
      </w:r>
      <w:r>
        <w:rPr>
          <w:rFonts w:ascii="Calibri" w:hAnsi="Calibri"/>
          <w:b w:val="0"/>
          <w:color w:val="3A4A28"/>
          <w:sz w:val="20"/>
        </w:rPr>
        <w:t>Regulatory action — SEC enforcement against Justin Sun or Congressional intervention into the reverse merger structure could fundamentally threaten the company's operating model [3]</w:t>
      </w:r>
    </w:p>
    <w:p>
      <w:pPr>
        <w:spacing w:before="40" w:after="40"/>
        <w:ind w:left="283"/>
      </w:pPr>
      <w:r>
        <w:rPr>
          <w:rFonts w:ascii="Calibri" w:hAnsi="Calibri"/>
          <w:b/>
          <w:color w:val="4A6B25"/>
          <w:sz w:val="20"/>
        </w:rPr>
        <w:t xml:space="preserve">3. </w:t>
      </w:r>
      <w:r>
        <w:rPr>
          <w:rFonts w:ascii="Calibri" w:hAnsi="Calibri"/>
          <w:b w:val="0"/>
          <w:color w:val="3A4A28"/>
          <w:sz w:val="20"/>
        </w:rPr>
        <w:t>Operating business deterioration — Q1 2026 revenue of $1.2M with -$0.21 EPS shows the legacy toy business continues to burn cash, providing no earnings floor if crypto assets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core toy and souvenir business involves physical product design, manufacturing, and distribution to theme parks — activities that AI cannot directly replace [2]. Theme park merchandise is experiential and location-dependent, providing structural protection against AI substitution. However, AI-generated designs and print-on-demand could eventually pressure custom merchandise margins. The crypto treasury component (TRX holdings) is orthogonal to AI disruption. AI Opportunity (0/1): No AI products, no AI revenue, and no AI strategy articulated by management [2]. The company has no technology platform that could leverage AI for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Tron Inc. Q3 2025 and Q1 2026 Earnings Results — GuruFocus and The Cerbat Gem, March 2026</w:t>
      </w:r>
    </w:p>
    <w:p>
      <w:pPr>
        <w:spacing w:before="20" w:after="20"/>
        <w:ind w:left="170"/>
      </w:pPr>
      <w:r>
        <w:rPr>
          <w:rFonts w:ascii="Calibri" w:hAnsi="Calibri"/>
          <w:b/>
          <w:color w:val="4A6B25"/>
          <w:sz w:val="15"/>
        </w:rPr>
        <w:t xml:space="preserve">2. </w:t>
      </w:r>
      <w:r>
        <w:rPr>
          <w:rFonts w:ascii="Calibri" w:hAnsi="Calibri"/>
          <w:b w:val="0"/>
          <w:color w:val="3A4A28"/>
          <w:sz w:val="17"/>
        </w:rPr>
        <w:t>Tron Inc. Corporate Website and Board of Directors — srmentertainment.com,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CNBC — Justin Sun's Tron to go public through reverse merger led by Trump-linked bank, June 2025; Congressional letter to SEC Chair, September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TRON (Tron Inc.),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