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TROW</w:t>
      </w:r>
      <w:r>
        <w:rPr>
          <w:rFonts w:ascii="Calibri" w:hAnsi="Calibri"/>
          <w:b/>
          <w:color w:val="1A2010"/>
          <w:sz w:val="40"/>
        </w:rPr>
        <w:t xml:space="preserve">  T. Rowe Price Group,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2026-04-15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Asset Management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T. Rowe Price is a Baltimore-based global asset manager founded in 1937, managing $1.71 trillion in assets as of March 2026 across mutual funds, ETFs, retirement solutions, target-date funds, and institutional strategies. The firm also operates Oak Hill Advisors (OHA), a private credit and alternatives platform, and has entered managed private equity.</w:t>
      </w:r>
    </w:p>
    <w:p>
      <w:r>
        <w:rPr>
          <w:rFonts w:ascii="Calibri" w:hAnsi="Calibri"/>
          <w:b/>
          <w:color w:val="6E8450"/>
          <w:sz w:val="18"/>
        </w:rPr>
        <w:t>7,900 Employees · https://www.troweprice.com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T. Rowe has evolved meaningfully in recent years — launching transparent active ETFs, acquiring Oak Hill Advisors (OHA) in 2021 for private credit exposure, and completing the first close of its first managed private equity fund in January 2026 [1]. These pivots have opened genuine new revenue streams but have not yet offset heavy equity mutual-fund outflows. AI Deployment (1/2): Firm is investing in AI for investment research and client-experience personalization; CEO Rob Sharps references AI as a strategic enabler and joined Longeviti Neuro Solutions board citing AI/data insights as an opportunity [2]. No quantified AI-driven revenue or savings disclosed yet. Market Share (1/2): Still a top-10 global active manager at $1.71T AUM with strong brand in retirement, but losing share as passive and alternatives continue to gain; $56.9B of net outflows in 2025 is a meaningful share erosion [1]. Pipeline (1/2): OHA record $16B+ fundraising in 2025 (second consecutive record year), active ETF platform growing, and private-equity launch provide pipeline visibility [1]. R&amp;D Intensity (0/1): Asset managers don't carry material R&amp;D; tech and data spend is within industry norms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T. Rowe's founding principle — 'putting clients first, investing for the long term' — has been validated by 89 years of continuous active investment management since 1937 [3]. The firm's client-aligned culture is specific and thoughtful, reflected in the governance and sustainability policy statement [3]. Community Impact (1/2): T. Rowe Price Foundation and Baltimore community investment are meaningful but not exceptionally distinctive; company publishes ESG and engagement policies [3]. Employee Retention (1/2): Long-tenured portfolio managers are a trademark of the firm's active franchise; however, recent headcount reductions related to outflows and cost discipline temper the retention signal [2]. Insider Buying (1/2): Consistent long-running buybacks (reducing share count meaningfully) signal management's conviction in intrinsic value, though direct open-market executive buying is modest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T. Rowe Price has a fortress balance sheet. Debt-to-equity of just 3.89% is exceptional, ROE of 18.8% clears the 15% target, and profit margin of 28.5% is best-in-class for asset managers [4]. Forward P/E of 9.96x is well below the 20x target, making it attractively valued. Revenue growth of 6% YoY is positive despite persistent outflows, and Q4 2025 revenue of $1.94B grew 6.4% YoY driven by higher average AUM [1]. Dividend yield of ~5.2% at $95.84 with 39 consecutive years of dividend growth (a Dividend Aristocrat) and 5yr dividend growth CAGR near 7% meaningfully beat the 6% target. Payout ratio around 54% is above the 40% ideal but sustainable given high cash flow and minimal debt [4]. Liquidity floor easily cleared: 2.39M avg vol x $95.84 = $229M daily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T. Rowe Price has played the infinite game for 89 years — holding to a client-first active management philosophy through multiple market cycles — but faces a genuine existential test as passive and AI-driven investing erode the active franchise. The OHA acquisition, ETF launches, and private-equity entry show real existential flexibility, though the transition is mid-journey.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client-first, long-term active investing philosophy dates to founder Thomas Rowe Price Jr. in 1937 and has shaped nearly nine decades of strategic decisions [3]. Mission is distinctive and lived out through long-tenured PMs and fundamental research culture, though not quite NVDA-tier transformative.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T. Rowe Price has historically been a high-retention culture with long PM tenures and Baltimore community roots [3]. Recent expense discipline and headcount reductions tied to outflows temper the retention signal; culture remains above average but is being tested.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Management openly acknowledges BlackRock, Vanguard, and Fidelity as formidable rivals and references the passive/ETF shift as a driver of T. Rowe's own strategic evolution [1][2]. The OHA acquisition and ETF platform launches are explicitly framed as learning from competitive pressure rather than trying to 'beat' rivals.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2021 OHA acquisition, active ETF launches, and 2026 managed private equity launch represent real strategic evolution from a pure active mutual-fund shop [1]. However, the legacy mutual-fund business still dominates revenue, and the pivot is incremental rather than transformative à la Fujifilm.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Sharps has made costly long-term investments — building out alternatives, ETFs, and private markets during a period of heavy outflows and fee compression — rather than cutting costs to protect near-term earnings [1][2]. Continuing the 39-year dividend growth streak through active-management headwinds requires capital discipline.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T. Rowe Price is a 89-year-old active asset manager with a fortress balance sheet (D/E 3.9%, ROE 18.8%, profit margin 28.5%) trading at 9.96x forward earnings with a ~5.2% dividend yield and 39 consecutive years of dividend growth [4]. Q4 2025 revenue grew 6.4% YoY to $1.94B on higher average AUM, and full-year 2025 adjusted revenue grew 2.8% to $7.4B despite $56.9B of net outflows [1]. Strategic pivots are working: OHA raised a record $16B+ in 2025 (second consecutive record), and the first managed private equity fund closed in Q1 2026 [1]. For income investors, TROW is a Dividend Aristocrat with a covered payout (~54% ratio) and minimal debt, creating a high margin of safety.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secular active-management headwinds. Net outflows totaled $56.9B in 2025 ($25.5B in Q4 alone) and continued with $13.7B more in Q1 2026, with equity mutual funds hemorrhaging ~$75B in redemptions [1]. The passive/ETF shift plus AI-driven portfolio tools threaten the high-fee active model that still dominates T. Rowe's revenue mix. March 2026 AUM of $1.71T is below the January peak of $1.80T, reflecting market volatility on top of outflows [1]. 2026 operating expenses are guided 3-6% higher versus a declining AUM base, compressing margins. The OHA and private-equity pivots are credible but remain a minority of revenue. HOLD: strong balance sheet, deep value (10x earnings), and a meaningful dividend offset persistent outflow pressure, but lack of clear revenue growth inflection prevents a BUY.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OHA private credit platform continuing record fundraising pace ($16B+ in 2025) and private-equity launch scaling meaningfully in 2026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Stabilization of equity outflows as retirement and target-date flows normalize; any quarter of net inflows would re-rate the multiple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dividend aristocrat status (39 consecutive years of growth) supported by 28.5% margins and minimal debt, anchoring income investor demand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passive/ETF and AI-driven portfolio tool share gains pressuring active mutual-fund fee revenue, which still dominates the mix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Ongoing net outflows ($13.7B in Q1 2026, $56.9B in 2025) compressing AUM base and operating leverage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Market volatility driving AUM declines (March 2026 $1.71T vs. January $1.80T) that directly compress revenue given ad-valorem fee model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Active asset management faces meaningful AI substitution risk — robo-advisors, AI-driven portfolio construction, and the continuing passive/ETF shift threaten the high-fee active mutual-fund model that still generates a majority of T. Rowe's revenue [2]. Analysts have flagged active managers as one of the most AI-exposed segments of financial services, with algorithms capable of replicating factor-based active strategies at fractional cost. OHA (private credit) and target-date retirement solutions retain meaningful defensive moats given regulatory barriers and institutional relationships [1]. AI Opportunity (1/1): T. Rowe is deploying AI to augment research, personalization, and operational efficiency; Sharps has publicly endorsed AI as a strategic enabler, and ongoing investments in tech and data capability create optionality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T. Rowe Price Q4 2025 Earnings Release and January/March 2026 AUM updates; Oak Hill Advisors fundraising and private equity launch, February-April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Bloomberg, LinkedIn, Longeviti Neuro Solutions release — Rob Sharps AI/innovation commentary and CEO profile,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T. Rowe Price ESG Investment Policy Statement and Governance &amp; Sustainability Policy,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TROW (T. Rowe Price Group), retrieved April 15,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