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TRU</w:t>
      </w:r>
      <w:r>
        <w:rPr>
          <w:rFonts w:ascii="Calibri" w:hAnsi="Calibri"/>
          <w:b/>
          <w:color w:val="1A2010"/>
          <w:sz w:val="40"/>
        </w:rPr>
        <w:t xml:space="preserve">  TransUnion</w:t>
      </w:r>
    </w:p>
    <w:p>
      <w:pPr>
        <w:spacing w:after="120"/>
      </w:pPr>
      <w:r>
        <w:rPr>
          <w:rFonts w:ascii="Calibri" w:hAnsi="Calibri"/>
          <w:b/>
          <w:color w:val="6E8450"/>
          <w:sz w:val="18"/>
        </w:rPr>
        <w:t>GROWTH SLEEVE · 2026-04-12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NYSE · United States</w:t>
      </w:r>
    </w:p>
    <w:p>
      <w:pPr>
        <w:spacing w:after="80"/>
      </w:pPr>
      <w:r>
        <w:rPr>
          <w:rFonts w:ascii="Calibri" w:hAnsi="Calibri"/>
          <w:b w:val="0"/>
          <w:color w:val="3A4A28"/>
          <w:sz w:val="20"/>
        </w:rPr>
        <w:t>TransUnion is a global information and insights company (one of the 'Big Three' U.S. credit bureaus alongside Equifax and Experian) that operates in U.S. Markets, International, and Consumer Interactive segments. It provides credit risk, fraud, marketing, and analytics solutions to financial services, insurance, telecom, and consumer industries.</w:t>
      </w:r>
    </w:p>
    <w:p>
      <w:r>
        <w:rPr>
          <w:rFonts w:ascii="Calibri" w:hAnsi="Calibri"/>
          <w:b/>
          <w:color w:val="6E8450"/>
          <w:sz w:val="18"/>
        </w:rPr>
        <w:t>13,000 Employees · https://www.transunion.com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TransUnion delivered Q4 2025 revenue of $1.17B (up 13%) and full-year 2025 revenue of $4.58B (up 9%), with net income jumping from $284M to $455M as the Neustar integration began producing operating leverage [1]. AI Deployment (2/2): TransUnion is scaling its OneTru platform with embedded AI across Credit, Marketing, Fraud and Consumer Solutions — shipping AI-enabled products to customers and citing OneTru as a meaningful growth driver in 2025 [2]. Market Share (1/2): TransUnion is one of three dominant U.S. credit bureaus with meaningful International presence, but Equifax and Experian remain larger and share is stable rather than gaining [1]. Pipeline (1/2): 2026 guidance of $4.95-$4.98B revenue (8-9% organic constant-currency growth) with OneTru expansion and continued Neustar synergies provides visibility, though specific next-gen product launches are not dated [1]. R&amp;D Intensity (0/1): TransUnion invests in tech/product but does not disclose R&amp;D as a distinct line item at levels that stand out vs. Equifax/Experian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TransUnion articulates 'Information for Good' and a mission to make trust possible between businesses and consumers — clear and industry-relevant but not transformatively differentiated from Equifax or Experian [3]. Community Impact (1/2): TransUnion operates a foundation supporting financial inclusion and community programs; it invests in alternative credit data to broaden access, which has measurable social impact [3]. Employee Retention (1/2): Glassdoor 3.6/5 across 3,100+ reviews but rating has declined 3% in the past year, with employees citing 'money-first approach' post-Neustar and significant U.S. layoffs replaced by Global Capability Center hiring in India, South Africa, Costa Rica — mixed retention signal [2]. Insider Buying (0/2): No meaningful insider buying reported; CEO Cartwright's compensation is heavily stock/bonus-weighted but not purchases at cost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TransUnion's Infrastructure reflects accelerating growth but a leveraged balance sheet. Revenue grew 9% to $4.58B in 2025 with 13% Q4 growth, and 2026 guidance of 8-9% organic growth continues the momentum [1]. Adjusted EBITDA of $417M in Q4 grew 10% with margins near 36%. Net income more than doubled to $455M but GAAP profit margin of ~10% is held back by Neustar amortization and data-breach legal costs [1]. Debt/equity is elevated from the Neustar acquisition financing (over 300% on a GAAP basis historically) — near the Infrastructure floor. Forward P/E near 17-18x is reasonable for the growth profile [1]. Liquidity is strong (TRU trades &gt;2M shares/day). No dividend as company allocates cash flow to deleveraging.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TransUnion plays a regulated-moat oligopoly game but has shown post-Neustar signs of finite optimization — layoffs, offshoring to Global Capability Centers, and a 4.4M-record data breach in 2025 all weigh against long-term trust-building with employees and consumers.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'Information for Good' — making trust possible between businesses and consumers — is a clear cause tied to financial inclusion, but strategic decisions have prioritized Neustar integration synergies and margin expansion over the stated mission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3.6/5 declining 3% YoY, employees report 'money-first approach' post-Neustar, and significant U.S. layoffs in favor of offshore Global Capability Centers suggest declining psychological safety [2]. Below-average trust environment.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TransUnion operates in a three-player oligopoly (Equifax, Experian) and tends to frame competition constructively around data-asset differentiation and product innovation rather than rival destruction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Neustar acquisition (~$3.1B) was a transformative pivot into marketing/identity data beyond pure credit reporting, and the OneTru platform represents a bet on unifying credit+marketing+fraud data — genuine transformative flexibility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has been willing to take on leverage for Neustar and invest in OneTru, but the cost-cutting, offshoring, and margin-focused decisions post-acquisition, plus the 2025 data-breach response, reflect more tactical financial management than principled long-term capability-building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TransUnion is accelerating in a regulated-oligopoly credit bureau market, delivering 13% Q4 2025 revenue growth to $1.17B and 9% full-year 2025 growth to $4.58B, with net income more than doubling to $455M as Neustar synergies emerge [1]. The OneTru platform embedding AI across Credit, Marketing, Fraud, and Consumer Solutions has become a genuine growth driver, and 2026 guidance of 8-9% organic constant-currency revenue growth plus 8-10% adjusted EPS growth to $4.63-$4.71 shows sustained momentum [1]. With a structural FCRA-regulated moat (only three national credit bureaus), proprietary data, and forward P/E near 17-18x, TRU offers growth-quality exposure at a reasonable multiple. AI is net-positive here — TransUnion's data IS the training ground AI models need.</w:t>
      </w:r>
    </w:p>
    <w:p>
      <w:pPr>
        <w:spacing w:after="120"/>
      </w:pPr>
      <w:r>
        <w:rPr>
          <w:rFonts w:ascii="Calibri" w:hAnsi="Calibri"/>
          <w:b w:val="0"/>
          <w:color w:val="3A4A28"/>
          <w:sz w:val="20"/>
        </w:rPr>
        <w:t>The bear case is multifaceted. In September 2025, TransUnion disclosed a breach affecting 4.4M+ Americans (Social Security numbers, contact data), which led to multiple class-action lawsuits consolidated into MDL 3170 and ongoing regulatory investigation [4]. Debt/equity remains elevated post-Neustar and legal exposure could weigh on free cash flow. Glassdoor 3.6/5 (declining 3% YoY) and employee complaints of 'money-first' culture post-acquisition plus U.S. layoffs in favor of offshore Global Capability Centers indicate cultural strain [2]. CFPB regulatory pressure on credit reporting practices, the TransUnion LLC v. Ramirez Supreme Court precedent limiting class-action standing, and rising competitive pressure from fintech data providers all create risk. Inspire score of -49 (MISALIGNED) reflects LGBT Activism attribution. Overall 65 = HOLD — growth is real but risks are material.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OneTru AI platform scaling across Credit, Marketing, Fraud, and Consumer Solutions — management cites as a growth driver and embedded in 2026 guidance of 8-9% revenue growth [2]</w:t>
      </w:r>
    </w:p>
    <w:p>
      <w:pPr>
        <w:spacing w:before="40" w:after="40"/>
        <w:ind w:left="283"/>
      </w:pPr>
      <w:r>
        <w:rPr>
          <w:rFonts w:ascii="Calibri" w:hAnsi="Calibri"/>
          <w:b/>
          <w:color w:val="4A6B25"/>
          <w:sz w:val="20"/>
        </w:rPr>
        <w:t xml:space="preserve">2. </w:t>
      </w:r>
      <w:r>
        <w:rPr>
          <w:rFonts w:ascii="Calibri" w:hAnsi="Calibri"/>
          <w:b w:val="0"/>
          <w:color w:val="3A4A28"/>
          <w:sz w:val="20"/>
        </w:rPr>
        <w:t>Neustar integration continuing to deliver margin and revenue synergies — Q4 2025 adjusted EBITDA grew 10% to $417M with margins near 36% [1]</w:t>
      </w:r>
    </w:p>
    <w:p>
      <w:pPr>
        <w:spacing w:before="40" w:after="40"/>
        <w:ind w:left="283"/>
      </w:pPr>
      <w:r>
        <w:rPr>
          <w:rFonts w:ascii="Calibri" w:hAnsi="Calibri"/>
          <w:b/>
          <w:color w:val="4A6B25"/>
          <w:sz w:val="20"/>
        </w:rPr>
        <w:t xml:space="preserve">3. </w:t>
      </w:r>
      <w:r>
        <w:rPr>
          <w:rFonts w:ascii="Calibri" w:hAnsi="Calibri"/>
          <w:b w:val="0"/>
          <w:color w:val="3A4A28"/>
          <w:sz w:val="20"/>
        </w:rPr>
        <w:t>International segment growth — 2026 guidance for 8-10% adjusted diluted EPS growth to $4.63-$4.71 benefits from geographic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2025 data breach exposing 4.4M+ SSNs and contact data — consolidated class actions (MDL 3170) and ongoing regulatory scrutiny threaten significant legal expense and reputational damage [4]</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post-Neustar — Glassdoor declined 3% YoY, U.S. layoffs replaced by offshore Global Capability Centers, 'money-first approach' cited as eroding long-term talent base [2]</w:t>
      </w:r>
    </w:p>
    <w:p>
      <w:pPr>
        <w:spacing w:before="40" w:after="40"/>
        <w:ind w:left="283"/>
      </w:pPr>
      <w:r>
        <w:rPr>
          <w:rFonts w:ascii="Calibri" w:hAnsi="Calibri"/>
          <w:b/>
          <w:color w:val="4A6B25"/>
          <w:sz w:val="20"/>
        </w:rPr>
        <w:t xml:space="preserve">3. </w:t>
      </w:r>
      <w:r>
        <w:rPr>
          <w:rFonts w:ascii="Calibri" w:hAnsi="Calibri"/>
          <w:b w:val="0"/>
          <w:color w:val="3A4A28"/>
          <w:sz w:val="20"/>
        </w:rPr>
        <w:t>CFPB and FCRA regulatory risk — ongoing political pressure on credit reporting fee models, medical-debt reporting rules, and consumer-data privacy regimes could compress unit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TransUnion's core business — consumer credit reporting — is a regulated oligopoly under Fair Credit Reporting Act (FCRA) with only three national consumer reporting agencies allowed to operate at scale, a structural moat AI cannot dissolve [1]. AI models need training data, and TransUnion's proprietary credit files ARE the training data. However, the Marketing and analytics businesses do face AI pressure from generalized LLMs and in-house data science teams, and the 2025 data breach exposed a legitimate cybersecurity weakness [4]. AI Opportunity (1/1): TransUnion's OneTru platform embeds AI across Credit, Fraud, and Marketing products shipping to customers, and management repeatedly cites AI as a growth driver on earnings calls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TransUnion Q4 2025 and Full-Year Earnings Release — $4.58B 2025 revenue (+9%), $1.17B Q4 (+13%), 2026 guidance $4.95-$4.98B, February 12, 2026</w:t>
      </w:r>
    </w:p>
    <w:p>
      <w:pPr>
        <w:spacing w:before="20" w:after="20"/>
        <w:ind w:left="170"/>
      </w:pPr>
      <w:r>
        <w:rPr>
          <w:rFonts w:ascii="Calibri" w:hAnsi="Calibri"/>
          <w:b/>
          <w:color w:val="4A6B25"/>
          <w:sz w:val="15"/>
        </w:rPr>
        <w:t xml:space="preserve">2. </w:t>
      </w:r>
      <w:r>
        <w:rPr>
          <w:rFonts w:ascii="Calibri" w:hAnsi="Calibri"/>
          <w:b w:val="0"/>
          <w:color w:val="3A4A28"/>
          <w:sz w:val="17"/>
        </w:rPr>
        <w:t>TransUnion OneTru AI platform press releases; Glassdoor reviews (3.6/5); CEO Chris Cartwright leadership profile</w:t>
      </w:r>
    </w:p>
    <w:p>
      <w:pPr>
        <w:spacing w:before="20" w:after="20"/>
        <w:ind w:left="170"/>
      </w:pPr>
      <w:r>
        <w:rPr>
          <w:rFonts w:ascii="Calibri" w:hAnsi="Calibri"/>
          <w:b/>
          <w:color w:val="4A6B25"/>
          <w:sz w:val="15"/>
        </w:rPr>
        <w:t xml:space="preserve">3. </w:t>
      </w:r>
      <w:r>
        <w:rPr>
          <w:rFonts w:ascii="Calibri" w:hAnsi="Calibri"/>
          <w:b w:val="0"/>
          <w:color w:val="3A4A28"/>
          <w:sz w:val="17"/>
        </w:rPr>
        <w:t>TransUnion 'Information for Good' mission and corporate foundation disclosures (transunion.com)</w:t>
      </w:r>
    </w:p>
    <w:p>
      <w:pPr>
        <w:spacing w:before="20" w:after="20"/>
        <w:ind w:left="170"/>
      </w:pPr>
      <w:r>
        <w:rPr>
          <w:rFonts w:ascii="Calibri" w:hAnsi="Calibri"/>
          <w:b/>
          <w:color w:val="4A6B25"/>
          <w:sz w:val="15"/>
        </w:rPr>
        <w:t xml:space="preserve">4. </w:t>
      </w:r>
      <w:r>
        <w:rPr>
          <w:rFonts w:ascii="Calibri" w:hAnsi="Calibri"/>
          <w:b w:val="0"/>
          <w:color w:val="3A4A28"/>
          <w:sz w:val="17"/>
        </w:rPr>
        <w:t>TransUnion 2025 Data Breach — 4.4M records exposed, MDL No. 3170 consolidation, September 2025 through December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estimates for TRU (TransUnion), retrieved April 12,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