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TSCO</w:t>
      </w:r>
      <w:r>
        <w:rPr>
          <w:rFonts w:ascii="Calibri" w:hAnsi="Calibri"/>
          <w:b/>
          <w:color w:val="1A2010"/>
          <w:sz w:val="40"/>
        </w:rPr>
        <w:t xml:space="preserve">  Tractor Supply Company</w:t>
      </w:r>
    </w:p>
    <w:p>
      <w:pPr>
        <w:spacing w:after="120"/>
      </w:pPr>
      <w:r>
        <w:rPr>
          <w:rFonts w:ascii="Calibri" w:hAnsi="Calibri"/>
          <w:b/>
          <w:color w:val="6E8450"/>
          <w:sz w:val="18"/>
        </w:rPr>
        <w:t>DIVIDEND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Tractor Supply Company is the largest rural lifestyle retailer in the United States, operating 2,200+ stores across 49 states under the Tractor Supply Company, Petsense by Tractor Supply, and Orscheln Farm and Home banners. The company sells livestock and equine feed, companion animal products, seasonal/recreation products, tools/hardware, and clothing to recreational farmers, ranchers, and rural homeowners. FY2025 revenue was $15.5B.</w:t>
      </w:r>
    </w:p>
    <w:p>
      <w:r>
        <w:rPr>
          <w:rFonts w:ascii="Calibri" w:hAnsi="Calibri"/>
          <w:b/>
          <w:color w:val="6E8450"/>
          <w:sz w:val="18"/>
        </w:rPr>
        <w:t>52,000 Employees · https://www.tractorsupply.com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Tractor Supply has successfully expanded into adjacent categories over the past 5 years — the Allivet pet prescription business ($100M revenue), Petsense by Tractor Supply rebranding, direct sales force initiative (targeting $50M in 2026 revenue), and final-mile delivery expansion to 50%+ of stores [1]. The Orscheln Farm and Home acquisition added store count. AI Deployment (2/2): Tractor Supply is a retail AI leader — partnered with OpenAI to deploy generative AI tools to all 52,000 team members, with ChatGPT 5 rolled out organization-wide. AI deployed across merchandising, supply chain, and customer experience, with agent-based AI automating complex workflows [2]. CTO Rob Mills leverages 37M+ Neighbors Club customer records for AI-driven personalization. Market Share (1/2): Dominant in the rural lifestyle retail niche with 2,200+ stores and no direct competitor of comparable scale, but this is a specialized niche rather than a broad retail category [1]. Pipeline (1/2): ~100 new store openings planned for 2026, direct sales force doubling, final-mile delivery expansion, and Allivet growth provide clear pipeline, though these are incremental extensions [1]. R&amp;D Intensity (0/1): Retail company with no traditional R&amp;D; innovation occurs through technology and operations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Tractor Supply's mission to be the most dependable supplier of basic maintenance products to farm, ranch, and rural customers is clear and identifies what the company does and for whom, but doesn't articulate a deeper transformative purpose [2]. The 'Life Out Here' brand positioning connects to rural lifestyle values. Community Impact (1/2): Tractor Supply operates 2,200+ stores across rural America, providing essential supplies and employment (52,000 team members) in underserved communities [1]. However, the company eliminated its DEI roles and withdrew from community-focused programs including Pride sponsorships and voter registration campaigns under conservative activist pressure [3]. Employee Retention (1/2): Ranked #1 in Computerworld's 2026 Best Places to Work in Tech (Large Company category), with Skills Development Academy, hackathons, and university partnerships [2]. However, Comparably rates the Executive Team C- (bottom 35%), suggesting disconnect between tech team satisfaction and broader organization. Insider Buying (1/2): CEO Hal Lawton has been in role since January 2020 with meaningful equity compensation, but no specific insider buying data found beyond standard compensation packages.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Tractor Supply's financial profile is strong with some leverage concerns. ROE of 45.2% is exceptional, reflecting efficient capital deployment [4]. Forward P/E of 18.7x is reasonable for a stable retailer with predictable cash flows [4]. Revenue growth of 3.3% YoY and 4.1% 5yr CAGR are moderate, reflecting the mature retail business [1]. D/E of 230% is elevated but typical for retailers with significant lease liabilities. Profit margin of 7.1% is adequate for specialty retail. Dividend profile is strong: 16+ consecutive years paid, 16 consecutive years of growth, 18.2% 5yr dividend growth CAGR, and manageable 44.7% payout ratio [4]. The $375-450M share repurchase plan and $675-725M capex demonstrate strong cash generation. Infrastructure calculated mechanically: D/E(0.30) + ROE(1.0) + RevYoY(0.78) + Rev5yr(0.61) + FwdPE(1.0) + Margin(0.36) + Payout(0.92) + YrsPaid(1.0,2x) + YrsGrowth(1.0) + DivCAGR(1.0,2x) = 9.96/12 = 8.3 -&gt;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Tractor Supply has built a durable franchise serving rural America for 88 years, with genuine customer loyalty (37M Neighbors Club members) and market-leading AI adoption for a specialty retailer. However, the 2024 DEI/ESG reversal under conservative activist pressure reveals a company that prioritizes near-term customer sentiment over long-term principles — a finite-game response to a finite-game attack.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Tractor Supply's identity as the essential supplier for rural American life — 'Life Out Here' — is genuine and distinctive, connecting the company's existence to supporting a way of life that matters to millions [1]. The company has served this community for 88 years through economic cycles, natural disasters, and industry disruption. However, the 2024 ESG/DEI reversal suggests the Just Cause bends to political winds rather than standing firm through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Tractor Supply was ranked #1 in Computerworld's Best Places to Work in Tech, with 1,500+ employees cheering the ChatGPT 5 rollout — indicating genuine enthusiasm and psychological safety in the tech organization [2]. However, Comparably's C- executive team rating (bottom 35%) and the DEI reversal (eliminating all DEI-specific roles) may have damaged trust among minority employees and those who valued the company's prior commitments [3]. The mixed signals create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Tractor Supply positions itself as the dominant rural lifestyle retailer with 'no direct competitor of comparable scale' — a monopoly mindset rather than one that learns from rivals [1]. Competitive communications focus on market dominance and store count leadership rather than acknowledging Amazon, Walmart, or regional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traditional farm supplies into pet care (Petsense, Allivet), digital commerce, direct sales, and AI-powered operations shows meaningful business model evolution [1]. The company has adapted from a pure brick-and-mortar retailer to an omnichannel platform with final-mile delivery and prescription services. However, the core identity — rural lifestyle retail stores — has remained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Hal Lawton's investment in AI (partnering with OpenAI, deploying to all 52,000 employees) and Allivet acquisition show willingness to invest for the future [2]. The $675-725M capex budget and 100 new stores demonstrate growth conviction. However, the 2024 ESG/DEI reversal under conservative activist Robby Starbuck's pressure campaign is the opposite of courage — leadership abandoned stated principles when the cost of maintaining them became real, exactly what Sinek warns against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Tractor Supply is the dominant rural lifestyle retailer with a durable franchise — 2,200+ stores, 37M Neighbors Club members, 88 years of operating history, and no direct competitor of comparable scale [1]. FY2025 revenue of $15.5B (up 4.3%) with comp sales growth of 1.2% demonstrates resilience despite macro headwinds [1]. The dividend story is compelling: 16 consecutive years of growth with an 18.2% 5yr CAGR, 2.14% yield, and 44.7% payout ratio providing room for continued increases [4]. At 18.7x forward P/E, the stock is reasonably valued for a high-quality retailer. AI leadership (OpenAI partnership, organization-wide deployment) differentiates Tractor Supply from retail peers. Growth levers include 100 new stores annually, Allivet ($100M revenue), direct sales doubling, and final-mile delivery expansion [1].</w:t>
      </w:r>
    </w:p>
    <w:p>
      <w:pPr>
        <w:spacing w:after="120"/>
      </w:pPr>
      <w:r>
        <w:rPr>
          <w:rFonts w:ascii="Calibri" w:hAnsi="Calibri"/>
          <w:b w:val="0"/>
          <w:color w:val="3A4A28"/>
          <w:sz w:val="20"/>
        </w:rPr>
        <w:t>The bear case centers on slowing growth and margin pressure. FY2026 guidance disappointed: EPS $2.13-2.23 vs. consensus $2.31, revenue $16.1-16.5B vs. consensus $16.6B [1]. Comp sales growth of 0.3% in Q4 2025 signals weakening traffic. Management cited tariff pressure, higher delivery costs, and discretionary spending pullback as headwinds. Revenue growth of 3.3% YoY and 4.1% 5yr CAGR indicate a maturing business with limited organic growth. D/E of 230% is elevated, though typical for retailers with lease liabilities. The DEI/ESG reversal under activist pressure creates reputational risk with younger employees and institutional investors while demonstrating leadership's susceptibility to external pressure campaigns [3]. Profit margin of 7.1% is thin and under pressure from operating margin guidance of 9.3-9.6%. The stock has declined 12% from its 50-day SMA of $51.10 to $44.87, potentially reflecting these concerns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operational transformation — OpenAI partnership equipping 52,000 team members with generative AI tools, agent-based AI automating merchandising and supply chain, driving productivity gains [2]</w:t>
      </w:r>
    </w:p>
    <w:p>
      <w:pPr>
        <w:spacing w:before="40" w:after="40"/>
        <w:ind w:left="283"/>
      </w:pPr>
      <w:r>
        <w:rPr>
          <w:rFonts w:ascii="Calibri" w:hAnsi="Calibri"/>
          <w:b/>
          <w:color w:val="4A6B25"/>
          <w:sz w:val="20"/>
        </w:rPr>
        <w:t xml:space="preserve">2. </w:t>
      </w:r>
      <w:r>
        <w:rPr>
          <w:rFonts w:ascii="Calibri" w:hAnsi="Calibri"/>
          <w:b w:val="0"/>
          <w:color w:val="3A4A28"/>
          <w:sz w:val="20"/>
        </w:rPr>
        <w:t>Growth initiatives including ~100 new store openings, direct sales force doubling to target $50M in 2026 revenue, and Allivet pet prescription scaling beyond $100M [1]</w:t>
      </w:r>
    </w:p>
    <w:p>
      <w:pPr>
        <w:spacing w:before="40" w:after="40"/>
        <w:ind w:left="283"/>
      </w:pPr>
      <w:r>
        <w:rPr>
          <w:rFonts w:ascii="Calibri" w:hAnsi="Calibri"/>
          <w:b/>
          <w:color w:val="4A6B25"/>
          <w:sz w:val="20"/>
        </w:rPr>
        <w:t xml:space="preserve">3. </w:t>
      </w:r>
      <w:r>
        <w:rPr>
          <w:rFonts w:ascii="Calibri" w:hAnsi="Calibri"/>
          <w:b w:val="0"/>
          <w:color w:val="3A4A28"/>
          <w:sz w:val="20"/>
        </w:rPr>
        <w:t>Dividend growth continuation — 18.2% 5yr CAGR with 44.7% payout ratio and $375-450M in share repurchases providing strong shareholder returns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Below-consensus FY2026 guidance (EPS $2.13-2.23 vs. $2.31 estimate) with tariff pressure, higher transport costs, and discretionary spending weakness creating margin compression risk [1]</w:t>
      </w:r>
    </w:p>
    <w:p>
      <w:pPr>
        <w:spacing w:before="40" w:after="40"/>
        <w:ind w:left="283"/>
      </w:pPr>
      <w:r>
        <w:rPr>
          <w:rFonts w:ascii="Calibri" w:hAnsi="Calibri"/>
          <w:b/>
          <w:color w:val="4A6B25"/>
          <w:sz w:val="20"/>
        </w:rPr>
        <w:t xml:space="preserve">2. </w:t>
      </w:r>
      <w:r>
        <w:rPr>
          <w:rFonts w:ascii="Calibri" w:hAnsi="Calibri"/>
          <w:b w:val="0"/>
          <w:color w:val="3A4A28"/>
          <w:sz w:val="20"/>
        </w:rPr>
        <w:t>Maturing growth profile — 3.3% revenue growth and 0.3% Q4 comp sales suggest the rural lifestyle retail market is approaching saturation at 2,200+ stores [1]</w:t>
      </w:r>
    </w:p>
    <w:p>
      <w:pPr>
        <w:spacing w:before="40" w:after="40"/>
        <w:ind w:left="283"/>
      </w:pPr>
      <w:r>
        <w:rPr>
          <w:rFonts w:ascii="Calibri" w:hAnsi="Calibri"/>
          <w:b/>
          <w:color w:val="4A6B25"/>
          <w:sz w:val="20"/>
        </w:rPr>
        <w:t xml:space="preserve">3. </w:t>
      </w:r>
      <w:r>
        <w:rPr>
          <w:rFonts w:ascii="Calibri" w:hAnsi="Calibri"/>
          <w:b w:val="0"/>
          <w:color w:val="3A4A28"/>
          <w:sz w:val="20"/>
        </w:rPr>
        <w:t>ESG/DEI reversal creates dual risk — institutional investor backlash and potential legal liability warned by NIWR, while any reversal of the reversal would alienate conservative customer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Tractor Supply's core business — physical retail of livestock feed, farm equipment, pet supplies, and hardware to rural customers — is fundamentally protected from AI displacement [1]. Rural customers need physical products delivered to physical locations; AI cannot replace animal feed, fencing, power equipment, or seasonal merchandise. The 2,200+ store network serves communities where e-commerce penetration is lower due to bulky product dimensions and immediate-need purchase patterns. The Neighbors Club (37M members) creates proprietary data advantages. Some risk exists from AI-enhanced e-commerce competition from Amazon and Walmart in discretionary categories. AI Opportunity (1/1): Tractor Supply generates meaningful value from AI deployment — OpenAI partnership equips 52,000 team members with AI tools, agent-based AI automates merchandising and supply chain workflows, and AI-driven personalization leverages 37M customer records [2]. While not direct AI 'revenue,' the operational leverage is quantifiable.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Tractor Supply Q4 and FY2025 Financial Results and FY2026 Guidance, Business Wire, January 2026</w:t>
      </w:r>
    </w:p>
    <w:p>
      <w:pPr>
        <w:spacing w:before="20" w:after="20"/>
        <w:ind w:left="170"/>
      </w:pPr>
      <w:r>
        <w:rPr>
          <w:rFonts w:ascii="Calibri" w:hAnsi="Calibri"/>
          <w:b/>
          <w:color w:val="4A6B25"/>
          <w:sz w:val="15"/>
        </w:rPr>
        <w:t xml:space="preserve">2. </w:t>
      </w:r>
      <w:r>
        <w:rPr>
          <w:rFonts w:ascii="Calibri" w:hAnsi="Calibri"/>
          <w:b w:val="0"/>
          <w:color w:val="3A4A28"/>
          <w:sz w:val="17"/>
        </w:rPr>
        <w:t>Tractor Supply AI Innovation, OpenAI Partnership, and CIO Rob Mills, CIO.com and Computerworld,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Tractor Supply DEI/ESG Controversy Coverage, NPR, CNN, HR Grapevine,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TSCO (Tractor Supply),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