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TSLX</w:t>
      </w:r>
      <w:r>
        <w:rPr>
          <w:rFonts w:ascii="Calibri" w:hAnsi="Calibri"/>
          <w:b/>
          <w:color w:val="1A2010"/>
          <w:sz w:val="40"/>
        </w:rPr>
        <w:t xml:space="preserve">  Sixth Street Specialty Lending, Inc.</w:t>
      </w:r>
    </w:p>
    <w:p>
      <w:pPr>
        <w:spacing w:after="120"/>
      </w:pPr>
      <w:r>
        <w:rPr>
          <w:rFonts w:ascii="Calibri" w:hAnsi="Calibri"/>
          <w:b/>
          <w:color w:val="6E8450"/>
          <w:sz w:val="18"/>
        </w:rPr>
        <w:t>DIVIDEND SLEEVE · 2026-05-05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Sixth Street Specialty Lending is a business development company (BDC) providing senior secured loans (first-lien, second-lien, unitranche), unsecured loans, mezzanine debt, and equity investments to middle-market companies. Externally managed by Sixth Street Partners, the firm targets companies with $50M-$250M EBITDA across diverse sectors.</w:t>
      </w:r>
    </w:p>
    <w:p>
      <w:r>
        <w:rPr>
          <w:rFonts w:ascii="Calibri" w:hAnsi="Calibri"/>
          <w:b/>
          <w:color w:val="6E8450"/>
          <w:sz w:val="18"/>
        </w:rPr>
        <w:t>https://www.sixthstreetspecialtylending.com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TSLX has grown its investment portfolio steadily since IPO in 2014 and navigated the 2020 downturn without significant credit losses, but has not transformed its business model or launched new product categories [1]. AI Deployment (0/2): No evidence of AI-powered underwriting, deal sourcing, or portfolio monitoring tools being deployed with measurable results; the firm operates through traditional relationship-based origination [2]. Market Share (1/2): TSLX is a respected middle-market direct lender within the Sixth Street ecosystem ($75B AUM parent), with a differentiated focus on larger, higher-quality first-lien deals, though it competes in a crowded BDC market [1]. Pipeline (1/2): The 2026 guidance of 11-11.5% ROE target and $1.87-$1.95 adjusted NII per share provides visibility, with Sixth Street positioned to capitalize on market dislocations [1]. R&amp;D Intensity (1/1): Relative to BDC peers, Sixth Street invests heavily in data-enabled capabilities and analytical infrastructure at the parent level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TSLX's stated focus is disciplined, investor-first lending with consistent risk-adjusted returns — a clear but not transformative purpose that could apply to any well-run BDC [2]. Community Impact (1/2): Sixth Street Partners engages in community investment through its broader platform, though TSLX as a publicly traded BDC vehicle has limited independent philanthropic presence [3]. Employee Retention (1/2): Bo Stanley and Joshua Easterly have worked together for 25 years, and the CEO transition (Easterly to Stanley) has been orderly, demonstrating leadership continuity and cultural preservation [2]. Insider Buying (1/2): Management maintains meaningful personal investment in TSLX shares, and the investor-first culture is repeatedly emphasized, though specific recent open-market insider purchase data was not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TSLX demonstrates BDC-typical financial characteristics with strong margins offset by declining revenue environment. D/E of 108.4% reflects standard BDC leverage (score 0.83). ROE of 10.6% is below the 15% target but solid for the sector (score 0.71) [4]. Revenue declined 12.5% YoY as falling rates compress NII (score 0.25). Forward P/E of 10.1x is attractively valued (score 1.0). Profit margin of 38.0% demonstrates efficient operations (score 1.0) [4]. Payout ratio of 113% exceeds 100% floor (score 0.0) — BDCs are required to distribute substantially all income. Consecutive years paid: 12 since 2014 (score 1.0, 2x weight). Consecutive years growth: ~3 (score 0.30). 5yr dividend growth CAGR: ~3% (score 0.50, 2x weight). Mechanical calculation: weighted sum 7.09 / max 11 × 10 = 6. Liquidity floor cleared: 1.08M avg vol × $19.76 = $21.3M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Sixth Street Specialty Lending operates with a disciplined, investor-first philosophy that prioritizes capital preservation over aggressive growth — a mixed infinite/finite posture. The 25-year partnership between Easterly and Stanley demonstrates enduring relationships, but the BDC structure inherently optimizes for quarterly income distribution rather than long-term compounding.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TSLX has a clear but shallow purpose (1 point). The 'investor-first' culture and disciplined lending approach differentiate from peers, but the purpose — generating risk-adjusted income for shareholders — is fundamentally a financial objective rather than a transformative vision of a better future [2]. The company exists to intermediate capital efficiently, not to advance a cause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point). The 25-year working relationship between Easterly and Stanley, the orderly CEO transition, and the 'One Team' culture at Sixth Street demonstrate institutional stability [2]. Staff retention at the parent level appears strong. However, as an externally managed BDC, TSLX itself has no employees — the management team sits at Sixth Street Partners, creating a structural separation.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point). TSLX acknowledges the competitive BDC landscape and positions itself to capitalize on market dislocations rather than competing on volume or aggressive pricing. Management commentary focuses on maintaining credit quality and waiting for opportunities rather than winning deal count or market share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 points). As a BDC, TSLX is structurally constrained by regulatory requirements (must distribute 90%+ of taxable income, maintain asset coverage ratios, invest primarily in qualifying assets). The business model has remained fundamentally unchanged since the 2014 IPO — middle-market direct lending with occasional opportunistic credit investments. No evidence of transformative pivots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strong evidence of courageous decisions (0 points). TSLX operates as a disciplined, conservative lender — which is appropriate for a BDC but does not demonstrate the courage to sacrifice near-term results for long-term capability. The firm has not taken meaningful contrarian positions, invested in new capabilities at the expense of distributions, or made decisions that prioritize future capability over current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TSLX offers a compelling 9.3% dividend yield backed by Sixth Street Partners' $75B platform, providing access to high-quality middle-market direct lending deal flow [1]. The 2026 ROE target of 11-11.5% and adjusted NII guidance of $1.87-$1.95/share demonstrate continued income generation capability despite falling rates [1]. At 10.1x forward P/E (essentially price-to-NII), the stock trades at an attractive valuation relative to book value. The 12-year dividend track record since 2014 provides income stability, and the orderly CEO transition from Easterly to Stanley ensures continuity of the disciplined, investor-first strategy [2].</w:t>
      </w:r>
    </w:p>
    <w:p>
      <w:pPr>
        <w:spacing w:after="120"/>
      </w:pPr>
      <w:r>
        <w:rPr>
          <w:rFonts w:ascii="Calibri" w:hAnsi="Calibri"/>
          <w:b w:val="0"/>
          <w:color w:val="3A4A28"/>
          <w:sz w:val="20"/>
        </w:rPr>
        <w:t>The bear case centers on declining NII as the Fed normalizes rates, with revenue already down 12.5% YoY and earnings declining 42.7% [4]. The elevated payout ratio of 113% signals that distributions may exceed sustainable NII in the near term, creating potential dividend cut risk if rates continue falling. BDC structural constraints limit growth optionality — TSLX cannot retain earnings to compound, must distribute income, and relies on external capital markets for growth. Credit risk in the middle-market portfolio could materialize if economic conditions deteriorate, particularly given D/E leverage of 108%. Competition from private credit funds with permanent capital (Apollo, Ares, Blue Owl) is intensifying, potentially compressing spreads on new originations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base rates could arrest NII decline and support current distribution levels, with TSLX positioned to benefit from any credit market dislocation [1]</w:t>
      </w:r>
    </w:p>
    <w:p>
      <w:pPr>
        <w:spacing w:before="40" w:after="40"/>
        <w:ind w:left="283"/>
      </w:pPr>
      <w:r>
        <w:rPr>
          <w:rFonts w:ascii="Calibri" w:hAnsi="Calibri"/>
          <w:b/>
          <w:color w:val="4A6B25"/>
          <w:sz w:val="20"/>
        </w:rPr>
        <w:t xml:space="preserve">2. </w:t>
      </w:r>
      <w:r>
        <w:rPr>
          <w:rFonts w:ascii="Calibri" w:hAnsi="Calibri"/>
          <w:b w:val="0"/>
          <w:color w:val="3A4A28"/>
          <w:sz w:val="20"/>
        </w:rPr>
        <w:t>Sixth Street platform growth to $75B+ AUM provides expanding deal flow pipeline and co-investment opportunities for TSLX shareholders [2]</w:t>
      </w:r>
    </w:p>
    <w:p>
      <w:pPr>
        <w:spacing w:before="40" w:after="40"/>
        <w:ind w:left="283"/>
      </w:pPr>
      <w:r>
        <w:rPr>
          <w:rFonts w:ascii="Calibri" w:hAnsi="Calibri"/>
          <w:b/>
          <w:color w:val="4A6B25"/>
          <w:sz w:val="20"/>
        </w:rPr>
        <w:t xml:space="preserve">3. </w:t>
      </w:r>
      <w:r>
        <w:rPr>
          <w:rFonts w:ascii="Calibri" w:hAnsi="Calibri"/>
          <w:b w:val="0"/>
          <w:color w:val="3A4A28"/>
          <w:sz w:val="20"/>
        </w:rPr>
        <w:t>Attractive 9.3% yield at 10.1x forward P/E offers meaningful income in a declining rate environment, with potential for price appreciation toward analyst target of $21.72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concerns with 113% payout ratio — if NII continues declining with lower rates, base distribution cut becomes probable [4]</w:t>
      </w:r>
    </w:p>
    <w:p>
      <w:pPr>
        <w:spacing w:before="40" w:after="40"/>
        <w:ind w:left="283"/>
      </w:pPr>
      <w:r>
        <w:rPr>
          <w:rFonts w:ascii="Calibri" w:hAnsi="Calibri"/>
          <w:b/>
          <w:color w:val="4A6B25"/>
          <w:sz w:val="20"/>
        </w:rPr>
        <w:t xml:space="preserve">2. </w:t>
      </w:r>
      <w:r>
        <w:rPr>
          <w:rFonts w:ascii="Calibri" w:hAnsi="Calibri"/>
          <w:b w:val="0"/>
          <w:color w:val="3A4A28"/>
          <w:sz w:val="20"/>
        </w:rPr>
        <w:t>Credit cycle risk in middle-market portfolio as economic deceleration could increase defaults among leveraged borrowers, particularly in cyclical sectors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competition from permanent-capital private credit vehicles (Apollo, Ares, Blue Owl) compressing new deal spreads and reducing deployment opportunities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Direct lending to middle-market companies involves relationship-driven origination, complex credit analysis, and bespoke structuring that AI cannot easily replicate [2]. However, AI tools from fintech competitors could improve deal sourcing efficiency and credit scoring accuracy, potentially compressing the information advantage that specialty lenders enjoy. The core defensive moat — access to the Sixth Street parent's $75B platform and deal flow — is relationship-based and protected from AI substitution. AI Opportunity (0/1): TSLX does not generate meaningful revenue from AI products. While Sixth Street's senior advisor Peter MacDonald has relationships with GenAI companies (OpenAI, Anthropic), this represents advisory engagement rather than direct AI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Sixth Street Specialty Lending Q4 2025 Earnings Call — beat EPS forecast, 2026 ROE target 11-11.5%, February 2026</w:t>
      </w:r>
    </w:p>
    <w:p>
      <w:pPr>
        <w:spacing w:before="20" w:after="20"/>
        <w:ind w:left="170"/>
      </w:pPr>
      <w:r>
        <w:rPr>
          <w:rFonts w:ascii="Calibri" w:hAnsi="Calibri"/>
          <w:b/>
          <w:color w:val="4A6B25"/>
          <w:sz w:val="15"/>
        </w:rPr>
        <w:t xml:space="preserve">2. </w:t>
      </w:r>
      <w:r>
        <w:rPr>
          <w:rFonts w:ascii="Calibri" w:hAnsi="Calibri"/>
          <w:b w:val="0"/>
          <w:color w:val="3A4A28"/>
          <w:sz w:val="17"/>
        </w:rPr>
        <w:t>Sixth Street Partners corporate communications — Bo Stanley CEO appointment, investor-first culture, One Team strategy, 2025-2026</w:t>
      </w:r>
    </w:p>
    <w:p>
      <w:pPr>
        <w:spacing w:before="20" w:after="20"/>
        <w:ind w:left="170"/>
      </w:pPr>
      <w:r>
        <w:rPr>
          <w:rFonts w:ascii="Calibri" w:hAnsi="Calibri"/>
          <w:b/>
          <w:color w:val="4A6B25"/>
          <w:sz w:val="15"/>
        </w:rPr>
        <w:t xml:space="preserve">3. </w:t>
      </w:r>
      <w:r>
        <w:rPr>
          <w:rFonts w:ascii="Calibri" w:hAnsi="Calibri"/>
          <w:b w:val="0"/>
          <w:color w:val="3A4A28"/>
          <w:sz w:val="17"/>
        </w:rPr>
        <w:t>SEC filings and market research — BDC competitive landscape, private credit market dynamics,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TSLX key statistics, dividend data, market data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