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w:t>
      </w:r>
      <w:r>
        <w:rPr>
          <w:rFonts w:ascii="Calibri" w:hAnsi="Calibri"/>
          <w:b/>
          <w:color w:val="1A2010"/>
          <w:sz w:val="40"/>
        </w:rPr>
        <w:t xml:space="preserve">  Tenaris S.A.</w:t>
      </w:r>
    </w:p>
    <w:p>
      <w:pPr>
        <w:spacing w:after="120"/>
      </w:pPr>
      <w:r>
        <w:rPr>
          <w:rFonts w:ascii="Calibri" w:hAnsi="Calibri"/>
          <w:b/>
          <w:color w:val="6E8450"/>
          <w:sz w:val="18"/>
        </w:rPr>
        <w:t>DIVIDEND SLEEVE · 2026-04-23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Luxembourg</w:t>
      </w:r>
    </w:p>
    <w:p>
      <w:pPr>
        <w:spacing w:after="80"/>
      </w:pPr>
      <w:r>
        <w:rPr>
          <w:rFonts w:ascii="Calibri" w:hAnsi="Calibri"/>
          <w:b w:val="0"/>
          <w:color w:val="3A4A28"/>
          <w:sz w:val="20"/>
        </w:rPr>
        <w:t>Tenaris manufactures and supplies steel pipe products and related services for the global energy industry. Products include casings, tubing, line pipes, and premium connections under the TenarisHydril brand, serving oil and gas drilling, completion, and transportation applications across the Americas, Europe, Middle East, Africa, and Asia Pacific.</w:t>
      </w:r>
    </w:p>
    <w:p>
      <w:r>
        <w:rPr>
          <w:rFonts w:ascii="Calibri" w:hAnsi="Calibri"/>
          <w:b/>
          <w:color w:val="6E8450"/>
          <w:sz w:val="18"/>
        </w:rPr>
        <w:t>24,875 Employees · https://www.tenaris.com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Tenaris has maintained steady operations with incremental product improvements in premium connections and coiled tubing, but no transformative pivots or major new product launches in the last five years — the business model remains fundamentally unchanged since 2001 [1]. AI Deployment (1/2): Tenaris has deployed Industry 4.0 initiatives including real-time signal processing, auto-learning control algorithms for machinery, video analytics for safety, and robotic process automation across manufacturing facilities, though no specific revenue or cost savings figures have been disclosed [2]. Market Share (1/2): Tenaris is a global leader in OCTG (oil country tubular goods) with the TenarisHydril premium connections brand, maintaining a meaningful competitive position but not a dominant monopoly-like share [1]. Pipeline (0/2): No specific next-generation products with named timelines have been announced; the company's growth is tied to upstream oil and gas activity cycles rather than product innovation [1]. R&amp;D Intensity (1/1): Tenaris invests in R&amp;D for premium connections, Industry 4.0, and hydrogen applications, with proprietary control systems and digital initiatives above typical energy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Tenaris articulates a focus on quality, safety, and sustainability in energy infrastructure, but the mission is functional rather than transformative — it reads as a standard industrial statement about delivering value through operational excellence and innovation [2]. Community Impact (1/2): Tenaris employs 24,875 people globally and publishes sustainability reports addressing environmental and social commitments, but no specific charitable programs or dollar amounts were identified in research [3]. Employee Retention (1/2): Glassdoor rating of 4.0/5 with 1,225 reviews suggests reasonable employee satisfaction, though 85% approval rate and 4.0 career opportunity score indicate adequate but not exceptional retention; Comparably rated the executive team in the bottom 25% for companies of similar size [2]. Insider Buying (1/2): CEO Paolo Rocca has led Tenaris since 2002, providing 24 years of leadership continuity under the Techint family holding structure, suggesting alignment but no specific recent insider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demonstrates strong financial infrastructure with a near-zero D/E ratio of 2.7% (net cash position of $2.4B against $449M debt), 16.1% profit margin, and forward P/E of 16.3x — all favorable metrics for a cyclical industrial [6]. ROE of 11.7% is below the 15% target, and revenue growth has been modest at 5.3% YoY with a 3-year CAGR of just 0.6%, reflecting the cyclical nature of OCTG demand [1]. Dividend profile is solid with 20+ consecutive years paid, 46.5% payout ratio, and 10.3% five-year dividend growth CAGR, though the consecutive growth streak is only 4 years after a significant cut in 2020 [6]. Free cash flow of $1.2B provides ample coverage. Liquidity floor easily cleared at $122M daily traded value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Tenaris under the Rocca family exhibits meaningful infinite game characteristics — 24 years of CEO continuity under Paolo Rocca, patient investment in Industry 4.0 and hydrogen applications, and a 20+ year dividend track record. However, the business is fundamentally tied to oil and gas cycles, limiting the company's ability to pursue a cause beyond the energy industry, and the generic mission statement lacks the transformative vision Sinek would demand.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Tenaris's purpose centers on being the global partner of choice for energy access and infrastructure, but this reads more as a market positioning statement than a Just Cause in Sinek's framework [2]. The 24-year leadership continuity under Paolo Rocca and the family's multi-generational commitment to steelmaking suggest genuine long-term orientation, but the company has not articulated a vision of a better future that extends beyond its current business scope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4.0/5 rating across 1,225 reviews and 85% recommendation rate indicate adequate organizational trust and stability [2]. Paolo Rocca's 24-year tenure as CEO provides leadership continuity, and the company's 24,875 employees span global operations with consistent management frameworks. However, Comparably rated the executive team in the bottom 25%, suggesting room for improvement in leadership perception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acknowledges competition from Vallourec, TMK, and regional OCTG producers, using competitive pressure to invest in premium connections (TenarisHydril) and Industry 4.0 capabilities that differentiate its offerings [2]. Management discussions reference improving product quality and service rather than destroying competitors, consistent with an infinite competitive mindset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has shown incremental flexibility — expanding from basic OCTG into premium connections, coiled tubing, automotive components, and exploring hydrogen applications [1]. The Industry 4.0 investment represents adaptation to digital manufacturing. However, these are evolutionary extensions of the core steel pipe business, not transformative reinventions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Rocca family's multi-generational commitment to Tenaris through industry downturns demonstrates some courage to maintain long-term investment during cyclical troughs [1]. The company maintained R&amp;D and Industry 4.0 investment through the 2020 oil price collapse when it cut the dividend to $0.14 from $0.82, prioritizing business continuity over shareholder returns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Tenaris is a well-capitalized global leader in OCTG with a fortress balance sheet — net cash of $2.4B, D/E of just 2.7%, and $1.2B in free cash flow [1][6]. The stock trades at a reasonable 16.3x forward earnings with a 2.86% dividend yield and strong dividend growth (10.3% five-year CAGR), making it attractive for income investors seeking energy exposure [6]. Q4 2025 revenue rose 5% YoY to $3B, and the company benefits from a strong offshore backlog and growing Argentina Vaca Muerta drilling activity expected in H2 2026 [1]. The 24-year leadership continuity under Paolo Rocca and Industry 4.0 investments position Tenaris as a modernizing industrial.</w:t>
      </w:r>
    </w:p>
    <w:p>
      <w:pPr>
        <w:spacing w:after="120"/>
      </w:pPr>
      <w:r>
        <w:rPr>
          <w:rFonts w:ascii="Calibri" w:hAnsi="Calibri"/>
          <w:b w:val="0"/>
          <w:color w:val="3A4A28"/>
          <w:sz w:val="20"/>
        </w:rPr>
        <w:t>The bear case centers on cyclical exposure and modest growth. Revenue has been essentially flat over three years (0.6% CAGR) with EPS declining 6.4% YoY, reflecting the boom-bust nature of upstream oil and gas activity [1][6]. The 2026 revenue consensus of $10.1B represents a potential 16% decline from 2025's $12B, as OCTG demand normalizes post-cycle [1]. ROE of 11.7% is below cost-of-equity benchmarks, suggesting the business does not consistently earn above-market returns. Long-term energy transition risks could structurally reduce oil and gas drilling activity, though near-term AI-driven power demand may partially offset this. The PEG ratio of 3.15x suggests the stock is overvalued relative to its growth profile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Argentina Vaca Muerta development expected to drive increased drilling and fracking activity in H2 2026 as financing translates into OCTG investments [1]</w:t>
      </w:r>
    </w:p>
    <w:p>
      <w:pPr>
        <w:spacing w:before="40" w:after="40"/>
        <w:ind w:left="283"/>
      </w:pPr>
      <w:r>
        <w:rPr>
          <w:rFonts w:ascii="Calibri" w:hAnsi="Calibri"/>
          <w:b/>
          <w:color w:val="4A6B25"/>
          <w:sz w:val="20"/>
        </w:rPr>
        <w:t xml:space="preserve">2. </w:t>
      </w:r>
      <w:r>
        <w:rPr>
          <w:rFonts w:ascii="Calibri" w:hAnsi="Calibri"/>
          <w:b w:val="0"/>
          <w:color w:val="3A4A28"/>
          <w:sz w:val="20"/>
        </w:rPr>
        <w:t>Strong offshore backlog with higher revenues expected in H1 2026 versus H2 2025, supporting near-term revenue growth [1]</w:t>
      </w:r>
    </w:p>
    <w:p>
      <w:pPr>
        <w:spacing w:before="40" w:after="40"/>
        <w:ind w:left="283"/>
      </w:pPr>
      <w:r>
        <w:rPr>
          <w:rFonts w:ascii="Calibri" w:hAnsi="Calibri"/>
          <w:b/>
          <w:color w:val="4A6B25"/>
          <w:sz w:val="20"/>
        </w:rPr>
        <w:t xml:space="preserve">3. </w:t>
      </w:r>
      <w:r>
        <w:rPr>
          <w:rFonts w:ascii="Calibri" w:hAnsi="Calibri"/>
          <w:b w:val="0"/>
          <w:color w:val="3A4A28"/>
          <w:sz w:val="20"/>
        </w:rPr>
        <w:t>Industry 4.0 and hydrogen infrastructure investments positioning Tenaris for energy transition opportunities beyond traditional OCTG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OCTG demand decline — 2026 revenue consensus of $10.1B implies 16% drop from 2025, as upstream capex cycles normalize and rig counts soften [1]</w:t>
      </w:r>
    </w:p>
    <w:p>
      <w:pPr>
        <w:spacing w:before="40" w:after="40"/>
        <w:ind w:left="283"/>
      </w:pPr>
      <w:r>
        <w:rPr>
          <w:rFonts w:ascii="Calibri" w:hAnsi="Calibri"/>
          <w:b/>
          <w:color w:val="4A6B25"/>
          <w:sz w:val="20"/>
        </w:rPr>
        <w:t xml:space="preserve">2. </w:t>
      </w:r>
      <w:r>
        <w:rPr>
          <w:rFonts w:ascii="Calibri" w:hAnsi="Calibri"/>
          <w:b w:val="0"/>
          <w:color w:val="3A4A28"/>
          <w:sz w:val="20"/>
        </w:rPr>
        <w:t>Energy transition structural risk — long-term decline in fossil fuel drilling activity could permanently reduce OCTG demand volumes [1]</w:t>
      </w:r>
    </w:p>
    <w:p>
      <w:pPr>
        <w:spacing w:before="40" w:after="40"/>
        <w:ind w:left="283"/>
      </w:pPr>
      <w:r>
        <w:rPr>
          <w:rFonts w:ascii="Calibri" w:hAnsi="Calibri"/>
          <w:b/>
          <w:color w:val="4A6B25"/>
          <w:sz w:val="20"/>
        </w:rPr>
        <w:t xml:space="preserve">3. </w:t>
      </w:r>
      <w:r>
        <w:rPr>
          <w:rFonts w:ascii="Calibri" w:hAnsi="Calibri"/>
          <w:b w:val="0"/>
          <w:color w:val="3A4A28"/>
          <w:sz w:val="20"/>
        </w:rPr>
        <w:t>Concentrated customer base in oil and gas majors creates revenue concentration risk if key customers cut capex budgets simultaneously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Tenaris's core business — manufacturing steel pipes and providing tubular solutions for oil and gas wells — is deeply physical, capital-intensive, and cannot be substituted by AI [1]. The company operates blast furnaces, seamless pipe mills, and welding lines that require massive infrastructure investment and metallurgical expertise. Energy exploration and production demand physical tubular goods regardless of AI advancement; in fact, growing AI data center power consumption may increase energy demand and thus OCTG demand over time. Regulatory requirements for pipe quality in high-pressure, high-temperature environments create additional barriers that AI cannot bypass. AI Opportunity (0/1): While Tenaris deploys AI internally for process optimization and safety monitoring through Industry 4.0 initiatives, these do not generate external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Tenaris Q4 2025 Earnings Release — $3B quarterly revenue, 5% YoY growth, offshore backlog strength, February 2026</w:t>
      </w:r>
    </w:p>
    <w:p>
      <w:pPr>
        <w:spacing w:before="20" w:after="20"/>
        <w:ind w:left="170"/>
      </w:pPr>
      <w:r>
        <w:rPr>
          <w:rFonts w:ascii="Calibri" w:hAnsi="Calibri"/>
          <w:b/>
          <w:color w:val="4A6B25"/>
          <w:sz w:val="15"/>
        </w:rPr>
        <w:t xml:space="preserve">2. </w:t>
      </w:r>
      <w:r>
        <w:rPr>
          <w:rFonts w:ascii="Calibri" w:hAnsi="Calibri"/>
          <w:b w:val="0"/>
          <w:color w:val="3A4A28"/>
          <w:sz w:val="17"/>
        </w:rPr>
        <w:t>Tenaris Industry 4.0 Sustainability Page — AI deployment, robotic automation, video analytics, digital assistants; Glassdoor reviews (4.0/5, 1,225 reviews)</w:t>
      </w:r>
    </w:p>
    <w:p>
      <w:pPr>
        <w:spacing w:before="20" w:after="20"/>
        <w:ind w:left="170"/>
      </w:pPr>
      <w:r>
        <w:rPr>
          <w:rFonts w:ascii="Calibri" w:hAnsi="Calibri"/>
          <w:b/>
          <w:color w:val="4A6B25"/>
          <w:sz w:val="15"/>
        </w:rPr>
        <w:t xml:space="preserve">3. </w:t>
      </w:r>
      <w:r>
        <w:rPr>
          <w:rFonts w:ascii="Calibri" w:hAnsi="Calibri"/>
          <w:b w:val="0"/>
          <w:color w:val="3A4A28"/>
          <w:sz w:val="17"/>
        </w:rPr>
        <w:t>Tenaris 2023 Sustainability Report — ESG commitments, environmental and community programs</w:t>
      </w:r>
    </w:p>
    <w:p>
      <w:pPr>
        <w:spacing w:before="20" w:after="20"/>
        <w:ind w:left="170"/>
      </w:pPr>
      <w:r>
        <w:rPr>
          <w:rFonts w:ascii="Calibri" w:hAnsi="Calibri"/>
          <w:b/>
          <w:color w:val="4A6B25"/>
          <w:sz w:val="15"/>
        </w:rPr>
        <w:t xml:space="preserve">4. </w:t>
      </w:r>
      <w:r>
        <w:rPr>
          <w:rFonts w:ascii="Calibri" w:hAnsi="Calibri"/>
          <w:b w:val="0"/>
          <w:color w:val="3A4A28"/>
          <w:sz w:val="17"/>
        </w:rPr>
        <w:t>Investing.com — Tenaris Q4 2025 earnings transcript, revenue and guidance analysis</w:t>
      </w:r>
    </w:p>
    <w:p>
      <w:pPr>
        <w:spacing w:before="20" w:after="20"/>
        <w:ind w:left="170"/>
      </w:pPr>
      <w:r>
        <w:rPr>
          <w:rFonts w:ascii="Calibri" w:hAnsi="Calibri"/>
          <w:b/>
          <w:color w:val="4A6B25"/>
          <w:sz w:val="15"/>
        </w:rPr>
        <w:t xml:space="preserve">5. </w:t>
      </w:r>
      <w:r>
        <w:rPr>
          <w:rFonts w:ascii="Calibri" w:hAnsi="Calibri"/>
          <w:b w:val="0"/>
          <w:color w:val="3A4A28"/>
          <w:sz w:val="17"/>
        </w:rPr>
        <w:t>MarketBeat — TS earnings estimates, 2026 consensus revenue $10.1B</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TS (Tenaris),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