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TTAN</w:t>
      </w:r>
      <w:r>
        <w:rPr>
          <w:rFonts w:ascii="Calibri" w:hAnsi="Calibri"/>
          <w:b/>
          <w:color w:val="1A2010"/>
          <w:sz w:val="40"/>
        </w:rPr>
        <w:t xml:space="preserve">  ServiceTitan, Inc.</w:t>
      </w:r>
    </w:p>
    <w:p>
      <w:pPr>
        <w:spacing w:after="120"/>
      </w:pPr>
      <w:r>
        <w:rPr>
          <w:rFonts w:ascii="Calibri" w:hAnsi="Calibri"/>
          <w:b/>
          <w:color w:val="6E8450"/>
          <w:sz w:val="18"/>
        </w:rPr>
        <w:t>GROWTH SLEEVE · 2026-04-27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ServiceTitan provides an end-to-end cloud-based software platform for the trades industry, serving HVAC, plumbing, electrical, roofing, landscaping, pest control, and other home and commercial service contractors. The platform manages business workflows from advertising and scheduling to dispatching, invoicing, and payment processing, with integrated FinTech solutions and AI-powered features.</w:t>
      </w:r>
    </w:p>
    <w:p>
      <w:r>
        <w:rPr>
          <w:rFonts w:ascii="Calibri" w:hAnsi="Calibri"/>
          <w:b/>
          <w:color w:val="6E8450"/>
          <w:sz w:val="18"/>
        </w:rPr>
        <w:t>3,414 Employees · https://www.servicetitan.com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ServiceTitan posted FY2026 revenue of $961M (up 24% YoY) with subscription revenue growing 26% and FinTech/processing revenue up 23% on GTV of $82.1B [1]. Free cash flow reached $85.1M despite ongoing net losses, demonstrating operating leverage as the platform scales [1]. AI Deployment (2/2): The company is heavily investing in AI through its Atlas platform — building intelligent, autonomous, and semi-autonomous systems for scheduling optimization, demand forecasting, and technician routing [3]. Leadership is 'incredibly serious' about AI integration across all product lines [3]. Market Share (1/2): ServiceTitan is the dominant vertical SaaS platform for the trades industry with net dollar retention exceeding 110% for three consecutive years, though competition from Housecall Pro, Jobber, and FieldEdge intensifies in SMB segments [1]. Pipeline (1/2): FY2027 guidance of $1.11B-$1.12B revenue implies 16-17% growth with expanding non-GAAP margins to $128M-$133M operating income, plus ongoing product expansion into adjacent trades verticals [1]. R&amp;D Intensity (1/1): Significant R&amp;D investment in AI (Atlas), FinTech products, and platform expansion across new trade verticals drives continuous product differentiation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Co-founders Ara Mahdessian and Vahe Kuzoyan built ServiceTitan to modernize the trades businesses their immigrant parents operated — an authentic founder story that resonates with the trades community [3]. The mission to help tradespeople build better businesses through technology is tangible and well-articulated. Community Impact (1/2): ServiceTitan serves thousands of trades contractors, enabling small business productivity and growth through technology previously available only to large enterprises. The 3,414 employees contribute to the Glendale, CA and broader tech ecosystem [1]. Employee Retention (1/2): Glassdoor rating of 3.5/5.0 with 3.4 for culture/values is below average for tech. Reviews cite a psychologically exhausting environment where 'everything is urgent, stakes are high, and mistakes are amplified,' with sporadic layoffs undermining trust [3]. Insider Buying (1/2): Co-founder CEO maintains significant equity alignment from the December 2024 IPO, though the company recently went public and insider lock-up dynamics are still evolving.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ServiceTitan is a high-growth, pre-profit SaaS company with strong unit economics but still burning cash on a GAAP basis. Revenue of $961M growing at 24% with 70.5% gross margins demonstrates typical best-in-class vertical SaaS economics [1][5]. Forward P/E of 39x reflects the market's expectation that the company will reach profitability — FY2027 non-GAAP operating income guided to $128M-$133M represents a meaningful inflection [1]. D/E of 3.4% with $429M cash against $51M debt provides a strong balance sheet for a recently-IPO'd company [5]. However, GAAP net loss of -$159.9M (narrowed from -$239.1M) and ROE of -10.7% reflect the investment phase. Operating cash flow of $110M and FCF of $85M show the path to self-funding operations [1]. Liquidity floor easily cleared: 1.47M avg vol × $62.66 = $92M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ServiceTitan demonstrates strong infinite game qualities through its founder-led mission to transform the trades industry, patient platform building over 17 years, and willingness to invest in AI and expansion despite short-term losses. However, the intense internal culture and pressure-driven work environment create tension with sustainable, trust-based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Empowering tradespeople — the plumbers, electricians, and HVAC technicians who keep society functioning — with enterprise-grade technology is a compelling just cause rooted in the founders' personal experience as children of immigrant trade workers [3]. The mission is specific, inclusive, and service-oriented. The platform genuinely transforms small business productivity and profitability for an underserved market.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3.5/5.0 with 3.4 for work-life balance reveal significant cultural challenges. Reviews describe a psychologically exhausting environment with constant urgency, amplified mistakes, and sporadic layoffs that erode trust [3]. CEO approval of 77% is moderate. The aggressive AI-first mandate ('leadership has become AI-pilled') may alienate employees who feel their expertise is undervalued relative to technology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ServiceTitan acknowledges competition from Housecall Pro (focused on SMB), Jobber, and FieldEdge, using competitive pressure to expand platform capabilities and push into new verticals [1]. The company's approach to adjacent trades (landscaping, pest control via FieldRoutes acquisition, commercial via Aspire) reflects learning from competitors' vertical specialization. The IPO itself was partly a competitive response to resource asymmetries.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ServiceTitan has evolved from a narrow HVAC/plumbing scheduling tool to an end-to-end platform spanning 20+ trade verticals, FinTech (payment processing, financing), and now AI-powered business intelligence [1]. The FieldRoutes and Aspire acquisitions demonstrate willingness to enter adjacent markets. The pivot from pure subscription to subscription-plus-FinTech revenue (23% GTV growth) shows meaningful business model flexibility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Mahdessian demonstrated courage in taking ServiceTitan public in December 2024 during a challenging IPO market, and in continuing to invest heavily in AI and expansion despite GAAP losses of $160M [1]. The commitment to the trades vertical — resisting the temptation to pivot to broader horizontal SaaS — shows conviction in the long-term mission. Guiding to meaningful non-GAAP profitability ($128M-$133M) for FY2027 while still investing aggressively reflects balanced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ServiceTitan is the dominant vertical SaaS platform for the $2T+ trades industry, posting FY2026 revenue of $961M (up 24%) with 70.5% gross margins, net dollar retention above 110%, and a clear path to profitability — FY2027 guidance calls for $1.11B-$1.12B revenue with $128M-$133M non-GAAP operating income [1]. The Atlas AI platform is a genuine differentiator, embedding intelligent scheduling, pricing, and demand forecasting directly into contractor workflows, driving expansion revenue and deepening platform lock-in [3]. At 39x forward P/E based on expected FY2027 profitability, the stock is reasonably valued for a 20%+ growth company approaching its earnings inflection with $429M cash and minimal debt [5]. The FinTech layer (payment processing, financing) on $82.1B GTV represents a massive monetization opportunity as take rates expand. Strategic partnerships and geographic expansion into new trades verticals provide long runway for sustained growth [1].</w:t>
      </w:r>
    </w:p>
    <w:p>
      <w:pPr>
        <w:spacing w:after="120"/>
      </w:pPr>
      <w:r>
        <w:rPr>
          <w:rFonts w:ascii="Calibri" w:hAnsi="Calibri"/>
          <w:b w:val="0"/>
          <w:color w:val="3A4A28"/>
          <w:sz w:val="20"/>
        </w:rPr>
        <w:t>The bear case centers on profitability timing and valuation risk. GAAP net loss of -$160M and -16.6% profit margin mean the company is still burning cash despite strong revenue growth, and any slowdown in the SaaS ramp would call the profitability timeline into question [5]. The 39x forward P/E assumes the earnings inflection happens on schedule — execution risk is real given the aggressive AI investment and expansion spending. Glassdoor reviews citing a psychologically exhausting culture and sporadic layoffs suggest potential talent retention challenges that could constrain execution [3]. The trades industry is cyclical and sensitive to housing market dynamics — a construction downturn would slow new customer acquisition and contractor spending on software. Competition from well-funded alternatives (Housecall Pro backed by Thoma Bravo) and potential entry by horizontal platforms (Salesforce, HubSpot) into trades verticals could pressure market share. The stock trades below its 50-day SMA of $66.64, reflecting near-term momentum headwinds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profitability inflection — non-GAAP operating income guidance of $128M-$133M on $1.11B-$1.12B revenue represents the transition from growth-stage investing to sustainable earnings power [1]</w:t>
      </w:r>
    </w:p>
    <w:p>
      <w:pPr>
        <w:spacing w:before="40" w:after="40"/>
        <w:ind w:left="283"/>
      </w:pPr>
      <w:r>
        <w:rPr>
          <w:rFonts w:ascii="Calibri" w:hAnsi="Calibri"/>
          <w:b/>
          <w:color w:val="4A6B25"/>
          <w:sz w:val="20"/>
        </w:rPr>
        <w:t xml:space="preserve">2. </w:t>
      </w:r>
      <w:r>
        <w:rPr>
          <w:rFonts w:ascii="Calibri" w:hAnsi="Calibri"/>
          <w:b w:val="0"/>
          <w:color w:val="3A4A28"/>
          <w:sz w:val="20"/>
        </w:rPr>
        <w:t>Atlas AI platform deployment driving expansion revenue through intelligent scheduling, pricing optimization, and demand forecasting features that increase ARPU and reduce churn [3]</w:t>
      </w:r>
    </w:p>
    <w:p>
      <w:pPr>
        <w:spacing w:before="40" w:after="40"/>
        <w:ind w:left="283"/>
      </w:pPr>
      <w:r>
        <w:rPr>
          <w:rFonts w:ascii="Calibri" w:hAnsi="Calibri"/>
          <w:b/>
          <w:color w:val="4A6B25"/>
          <w:sz w:val="20"/>
        </w:rPr>
        <w:t xml:space="preserve">3. </w:t>
      </w:r>
      <w:r>
        <w:rPr>
          <w:rFonts w:ascii="Calibri" w:hAnsi="Calibri"/>
          <w:b w:val="0"/>
          <w:color w:val="3A4A28"/>
          <w:sz w:val="20"/>
        </w:rPr>
        <w:t>FinTech monetization expansion on $82.1B gross transaction volume as payment processing and financing take rates increase across the contractor customer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 net loss of $160M despite $961M revenue raises concerns about the timeline to true profitability if growth moderates [1][5]</w:t>
      </w:r>
    </w:p>
    <w:p>
      <w:pPr>
        <w:spacing w:before="40" w:after="40"/>
        <w:ind w:left="283"/>
      </w:pPr>
      <w:r>
        <w:rPr>
          <w:rFonts w:ascii="Calibri" w:hAnsi="Calibri"/>
          <w:b/>
          <w:color w:val="4A6B25"/>
          <w:sz w:val="20"/>
        </w:rPr>
        <w:t xml:space="preserve">2. </w:t>
      </w:r>
      <w:r>
        <w:rPr>
          <w:rFonts w:ascii="Calibri" w:hAnsi="Calibri"/>
          <w:b w:val="0"/>
          <w:color w:val="3A4A28"/>
          <w:sz w:val="20"/>
        </w:rPr>
        <w:t>Culture and talent retention risk — Glassdoor 3.5/5.0 rating with complaints about exhausting work environment and layoffs could constrain execution during critical growth phase [3]</w:t>
      </w:r>
    </w:p>
    <w:p>
      <w:pPr>
        <w:spacing w:before="40" w:after="40"/>
        <w:ind w:left="283"/>
      </w:pPr>
      <w:r>
        <w:rPr>
          <w:rFonts w:ascii="Calibri" w:hAnsi="Calibri"/>
          <w:b/>
          <w:color w:val="4A6B25"/>
          <w:sz w:val="20"/>
        </w:rPr>
        <w:t xml:space="preserve">3. </w:t>
      </w:r>
      <w:r>
        <w:rPr>
          <w:rFonts w:ascii="Calibri" w:hAnsi="Calibri"/>
          <w:b w:val="0"/>
          <w:color w:val="3A4A28"/>
          <w:sz w:val="20"/>
        </w:rPr>
        <w:t>Housing cycle sensitivity — the trades industry is tied to residential construction and maintenance spending, creating demand risk in a potential housing downturn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ServiceTitan is a clear AI beneficiary — its platform sits at the center of trades business operations, collecting scheduling, pricing, customer, and financial data that enables AI-driven optimization [3]. The Atlas AI platform automates technician dispatching, demand forecasting, and pricing optimization, deepening platform stickiness. Net dollar retention above 110% demonstrates that AI features drive expansion revenue rather than churn risk [1]. The trades industry's fragmented, relationship-driven nature resists pure AI disruption — contractors need workflow management, not just intelligence. However, horizontal AI tools (e.g., general scheduling or invoicing AI) could commoditize specific features. AI Opportunity (1/1): AI represents ServiceTitan's core growth driver — Atlas-powered features command premium pricing and drive upsell, with management making AI integration the central product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ServiceTitan FY2026 Annual Results — $961M revenue (24% growth), $85.1M FCF, FY2027 guidance $1.11B-$1.12B, StockTitan/Nasdaq, 2026</w:t>
      </w:r>
    </w:p>
    <w:p>
      <w:pPr>
        <w:spacing w:before="20" w:after="20"/>
        <w:ind w:left="170"/>
      </w:pPr>
      <w:r>
        <w:rPr>
          <w:rFonts w:ascii="Calibri" w:hAnsi="Calibri"/>
          <w:b/>
          <w:color w:val="4A6B25"/>
          <w:sz w:val="15"/>
        </w:rPr>
        <w:t xml:space="preserve">2. </w:t>
      </w:r>
      <w:r>
        <w:rPr>
          <w:rFonts w:ascii="Calibri" w:hAnsi="Calibri"/>
          <w:b w:val="0"/>
          <w:color w:val="3A4A28"/>
          <w:sz w:val="17"/>
        </w:rPr>
        <w:t>ServiceTitan Q4 FY2026 Earnings Call — net dollar retention &gt;110%, GTV $82.1B, AI Atlas platform updates, GuruFocus, 2026</w:t>
      </w:r>
    </w:p>
    <w:p>
      <w:pPr>
        <w:spacing w:before="20" w:after="20"/>
        <w:ind w:left="170"/>
      </w:pPr>
      <w:r>
        <w:rPr>
          <w:rFonts w:ascii="Calibri" w:hAnsi="Calibri"/>
          <w:b/>
          <w:color w:val="4A6B25"/>
          <w:sz w:val="15"/>
        </w:rPr>
        <w:t xml:space="preserve">3. </w:t>
      </w:r>
      <w:r>
        <w:rPr>
          <w:rFonts w:ascii="Calibri" w:hAnsi="Calibri"/>
          <w:b w:val="0"/>
          <w:color w:val="3A4A28"/>
          <w:sz w:val="17"/>
        </w:rPr>
        <w:t>ServiceTitan Leadership, Culture, and AI Strategy — Glassdoor reviews (3.5/5.0), CEO Ara Mahdessian profile, Atlas AI engineering, 2025-2026</w:t>
      </w:r>
    </w:p>
    <w:p>
      <w:pPr>
        <w:spacing w:before="20" w:after="20"/>
        <w:ind w:left="170"/>
      </w:pPr>
      <w:r>
        <w:rPr>
          <w:rFonts w:ascii="Calibri" w:hAnsi="Calibri"/>
          <w:b/>
          <w:color w:val="4A6B25"/>
          <w:sz w:val="15"/>
        </w:rPr>
        <w:t xml:space="preserve">4. </w:t>
      </w:r>
      <w:r>
        <w:rPr>
          <w:rFonts w:ascii="Calibri" w:hAnsi="Calibri"/>
          <w:b w:val="0"/>
          <w:color w:val="3A4A28"/>
          <w:sz w:val="17"/>
        </w:rPr>
        <w:t>ServiceTitan Corporate and SEC Filings — S-1, 10-K, Contrary Research business breakdown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TTAN (ServiceTitan),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