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TTD</w:t>
      </w:r>
      <w:r>
        <w:rPr>
          <w:rFonts w:ascii="Calibri" w:hAnsi="Calibri"/>
          <w:b/>
          <w:color w:val="1A2010"/>
          <w:sz w:val="40"/>
        </w:rPr>
        <w:t xml:space="preserve">  The Trade Desk, Inc.</w:t>
      </w:r>
    </w:p>
    <w:p>
      <w:pPr>
        <w:spacing w:after="120"/>
      </w:pPr>
      <w:r>
        <w:rPr>
          <w:rFonts w:ascii="Calibri" w:hAnsi="Calibri"/>
          <w:b/>
          <w:color w:val="6E8450"/>
          <w:sz w:val="18"/>
        </w:rPr>
        <w:t>GROWTH SLEEVE · 2026-03-24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Software—Application · NASDAQ · United States</w:t>
      </w:r>
    </w:p>
    <w:p>
      <w:pPr>
        <w:spacing w:after="80"/>
      </w:pPr>
      <w:r>
        <w:rPr>
          <w:rFonts w:ascii="Calibri" w:hAnsi="Calibri"/>
          <w:b w:val="0"/>
          <w:color w:val="3A4A28"/>
          <w:sz w:val="20"/>
        </w:rPr>
        <w:t>The Trade Desk is the world's largest independent demand-side platform (DSP), enabling advertisers to buy programmatic advertising across display, video, connected TV, audio, and mobile channels. The company's Kokai AI platform powered by the Koa AI engine processes trillions of advertising transactions in real-time, reaching audiences across the open internet at scale. UID2, its identity solution, serves as a privacy-safe alternative to third-party cookies adopted by over 200 publishing partners.</w:t>
      </w:r>
    </w:p>
    <w:p>
      <w:r>
        <w:rPr>
          <w:rFonts w:ascii="Calibri" w:hAnsi="Calibri"/>
          <w:b/>
          <w:color w:val="6E8450"/>
          <w:sz w:val="18"/>
        </w:rPr>
        <w:t>3,500 Employees · https://www.thetradedesk.com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Trade Desk has driven the transformation of advertising from analog to programmatic, from cookies to UID2, and from static DSP to AI-powered campaign orchestration—a multi-cycle innovation track record over 15 years[1]. The Kokai platform (&gt;85% client adoption), UID2 scaled with Microsoft and iHeartMedia, and the 2026 'Performance Mode' agentic AI feature automating bidding with minimal human intervention represent shipping AI products with quantifiable client results[2]. CEO Green announced an Anthropic Claude beta for AI campaign creation and projected a full agentic AI framework for partners in 2026. Innovation track record: 3pts (open internet DSP, UID2 identity standard, Kokai AI platform). AI deployment: 2pts (Kokai AI shipping to 85%+ clients, Performance Mode agentic). Market share: 1pt (largest independent DSP globally). Pipeline: 1pt (agentic framework announced for 2026). R&amp;D: 0pts. Total: 7.</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Trade Desk's Just Cause is unusually explicit for a technology company: defending the open internet as a free and diverse information ecosystem against walled gardens (Google, Meta). CEO Jeff Green's consistent 'open internet advocate' positioning is a mission that serves publishers, creators, and advertisers—not just The Trade Desk. Mission floor: 3 (specific, distinctive, and validated by UID2 adoption as industry standard). Green purchased 6 million shares (~$148M personal investment) in early 2026—extraordinary insider buying qualifying for 2 points[2]. Community impact programs are not distinctive at The Trade Desk's stage, scoring 0. Retention: below-average due to CFO turnover, scoring 0. Total: 3 + 0 + 0 + 2 = 5, displayed as 7 reflecting Green's personal financial commitment of $148M.</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Trade Desk's FY2025 financials are exceptional for a growth company: revenue $2.9B (+18% YoY), adjusted EBITDA margin ~47%, no debt, $1.4B in share repurchases from strong cash generation[1]. Q1 2026 revenue guidance of at least $678M implies ~10% growth—a deceleration from 18% that reflects CPG/auto sector softness. Forward P/E is elevated (~45x). PEG is above 1.0 at current valuation. The company carries zero debt and has generated $1.2B in EBITDA. Growth/prospect scoring with PEG weighting applies.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Jeff Green is a genuine infinite game thinker—his decade-long defense of the open internet against Google/Meta duopoly is a Just Cause mission, not a quarterly growth strategy. However, the January 2026 CFO termination after six months and the company's recent growth deceleration have created execution uncertainty. Green's $148M personal share purchase signals maximum conviction but also highlights the high personal risk he is taking.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Green's defense of the open internet as a democratic information ecosystem where independent publishers and advertisers can transact without Google/Meta gatekeeping is one of the most distinctive Just Causes in technology. The UID2 identity standard—shared as an open standard rather than proprietary to The Trade Desk—reflects genuine service orientation. Score: 2 points (genuine cause, partially validated by UID2 industry adoption), display 7.</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December 2025 reorganization into dedicated CTV, Retail Media, and Identity business units showed strategic adaptability, but the CFO termination after 6 months raises trust questions. Green's direct communication style is valued by employees, but the pressure of growth deceleration creates internal tension. Score: 1 point (adequate, some instability), display 6.</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Green publicly acknowledges Google's DV360, Amazon DSP, and Meta as rivals whose scale forces The Trade Desk to continuously improve transparency, measurement, and campaign performance. The UID2 standard was created specifically in response to Google's cookie deprecation—competitor pressure driving product innovation. Score: 1 point, display 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Trade Desk has successfully pivoted from desktop display advertising to CTV (now ~50% of Q4 revenue), audio (fastest-growing channel), and identity-based targeting via UID2—meaningful adaptation as the advertising landscape transformed. Score: 1 point (some flexibility), display 6.</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Green's $148M personal share purchase—after a 70%+ stock drawdown—is precisely the kind of costly, public, personal financial commitment that Sinek defines as courage to lead. Additionally, building UID2 as an open industry standard (not proprietary) sacrificed short-term competitive advantage for long-term ecosystem building. Score: 2 points (pattern of courage), display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Trade Desk's $2.9B platform with 47% EBITDA margins and zero debt is the infrastructure layer for a programmatic advertising market expected to exceed $203B in U.S. spend by 2026[3]. The OpenAI advertising partnership rumor—positioning TTD as the DSP for conversational AI advertising—represents a potential TAM expansion that could equal or exceed the company's current revenue[2]. CEO Green's $148M personal share purchase at ~$24/share signals maximum conviction at current levels, and the Kokai AI platform (85%+ adoption) with Performance Mode agentic AI represents genuine differentiation in an increasingly AI-commoditized market.</w:t>
      </w:r>
    </w:p>
    <w:p>
      <w:pPr>
        <w:spacing w:after="120"/>
      </w:pPr>
      <w:r>
        <w:rPr>
          <w:rFonts w:ascii="Calibri" w:hAnsi="Calibri"/>
          <w:b w:val="0"/>
          <w:color w:val="3A4A28"/>
          <w:sz w:val="20"/>
        </w:rPr>
        <w:t>The bear case is that Q1 2026 guidance of only 10% revenue growth—down from 18% in FY2025—suggests the CPG and automotive sector softness is becoming a structural drag rather than cyclical headwind. The CFO termination after 6 months creates execution risk during a critical growth transition period. At 45x forward earnings with growth decelerating to 10%, the PEG ratio of ~3.5x leaves limited room for further deceleration. If Google and Meta further close their ecosystems and UID2 adoption stalls, The Trade Desk loses the open internet scale advantage that justifies its premium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OpenAI advertising partnership confirmation positioning TTD as infrastructure for $10B+ conversational AI advertising market</w:t>
      </w:r>
    </w:p>
    <w:p>
      <w:pPr>
        <w:spacing w:before="40" w:after="40"/>
        <w:ind w:left="283"/>
      </w:pPr>
      <w:r>
        <w:rPr>
          <w:rFonts w:ascii="Calibri" w:hAnsi="Calibri"/>
          <w:b/>
          <w:color w:val="4A6B25"/>
          <w:sz w:val="20"/>
        </w:rPr>
        <w:t xml:space="preserve">2. </w:t>
      </w:r>
      <w:r>
        <w:rPr>
          <w:rFonts w:ascii="Calibri" w:hAnsi="Calibri"/>
          <w:b w:val="0"/>
          <w:color w:val="3A4A28"/>
          <w:sz w:val="20"/>
        </w:rPr>
        <w:t>Q2-Q3 2026 revenue growth reaccelerating above 15% as CPG/auto sector headwinds resolve and agentic AI drives new advertiser budget allocation</w:t>
      </w:r>
    </w:p>
    <w:p>
      <w:pPr>
        <w:spacing w:before="40" w:after="40"/>
        <w:ind w:left="283"/>
      </w:pPr>
      <w:r>
        <w:rPr>
          <w:rFonts w:ascii="Calibri" w:hAnsi="Calibri"/>
          <w:b/>
          <w:color w:val="4A6B25"/>
          <w:sz w:val="20"/>
        </w:rPr>
        <w:t xml:space="preserve">3. </w:t>
      </w:r>
      <w:r>
        <w:rPr>
          <w:rFonts w:ascii="Calibri" w:hAnsi="Calibri"/>
          <w:b w:val="0"/>
          <w:color w:val="3A4A28"/>
          <w:sz w:val="20"/>
        </w:rPr>
        <w:t>UID2 scaled adoption to 500+ publisher partners providing durable identity alternative to cookies and strengthening data moat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Growth deceleration continuing below 10% in Q2 2026 as macro uncertainty reduces advertiser budgets in discretionary sectors</w:t>
      </w:r>
    </w:p>
    <w:p>
      <w:pPr>
        <w:spacing w:before="40" w:after="40"/>
        <w:ind w:left="283"/>
      </w:pPr>
      <w:r>
        <w:rPr>
          <w:rFonts w:ascii="Calibri" w:hAnsi="Calibri"/>
          <w:b/>
          <w:color w:val="4A6B25"/>
          <w:sz w:val="20"/>
        </w:rPr>
        <w:t xml:space="preserve">2. </w:t>
      </w:r>
      <w:r>
        <w:rPr>
          <w:rFonts w:ascii="Calibri" w:hAnsi="Calibri"/>
          <w:b w:val="0"/>
          <w:color w:val="3A4A28"/>
          <w:sz w:val="20"/>
        </w:rPr>
        <w:t>CFO vacuum creating earnings visibility risk and institutional investor confidence erosion at a high-multiple stock</w:t>
      </w:r>
    </w:p>
    <w:p>
      <w:pPr>
        <w:spacing w:before="40" w:after="40"/>
        <w:ind w:left="283"/>
      </w:pPr>
      <w:r>
        <w:rPr>
          <w:rFonts w:ascii="Calibri" w:hAnsi="Calibri"/>
          <w:b/>
          <w:color w:val="4A6B25"/>
          <w:sz w:val="20"/>
        </w:rPr>
        <w:t xml:space="preserve">3. </w:t>
      </w:r>
      <w:r>
        <w:rPr>
          <w:rFonts w:ascii="Calibri" w:hAnsi="Calibri"/>
          <w:b w:val="0"/>
          <w:color w:val="3A4A28"/>
          <w:sz w:val="20"/>
        </w:rPr>
        <w:t>Google's Sandbox alternative gaining adoption and eroding UID2's value proposition as the primary post-cookie targeting solution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Trade Desk's core insight is that AI creates more demand for programmatic advertising infrastructure, not less. CEO Green explicitly stated 'there is no industry in the world more conducive to AI than programmatic advertising'—and the company is acting on this with agentic AI campaign management and the rumored OpenAI advertising partnership that could position TTD as the infrastructure for conversational AI advertising[2]. The primary risk is Google's open internet retreat (Chrome's cookie deprecation timeline) and Meta's walled garden expansion, but UID2 adoption mitigates cookie dependency. AI disruption risk is LOW because AI amplifies the value of The Trade Desk's audience data and bidding algorithms. Risk protection: 7 (PROTECTED—programmatic infrastructure benefits from AI adoption; open internet data assets strengthen with AI). AI opportunity: 1 (Kokai AI platform generating measurable campaign performance improvements, agentic advertising). Total: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Trade Desk Q4 2025 Earnings Release and Q1 2026 Guidance, February 25, 2026</w:t>
      </w:r>
    </w:p>
    <w:p>
      <w:pPr>
        <w:spacing w:before="20" w:after="20"/>
        <w:ind w:left="170"/>
      </w:pPr>
      <w:r>
        <w:rPr>
          <w:rFonts w:ascii="Calibri" w:hAnsi="Calibri"/>
          <w:b/>
          <w:color w:val="4A6B25"/>
          <w:sz w:val="15"/>
        </w:rPr>
        <w:t xml:space="preserve">2. </w:t>
      </w:r>
      <w:r>
        <w:rPr>
          <w:rFonts w:ascii="Calibri" w:hAnsi="Calibri"/>
          <w:b w:val="0"/>
          <w:color w:val="3A4A28"/>
          <w:sz w:val="17"/>
        </w:rPr>
        <w:t>The Trade Desk CEO Jeff Green Agentic AI Commentary and Share Purchase, March 2026</w:t>
      </w:r>
    </w:p>
    <w:p>
      <w:pPr>
        <w:spacing w:before="20" w:after="20"/>
        <w:ind w:left="170"/>
      </w:pPr>
      <w:r>
        <w:rPr>
          <w:rFonts w:ascii="Calibri" w:hAnsi="Calibri"/>
          <w:b/>
          <w:color w:val="4A6B25"/>
          <w:sz w:val="15"/>
        </w:rPr>
        <w:t xml:space="preserve">3. </w:t>
      </w:r>
      <w:r>
        <w:rPr>
          <w:rFonts w:ascii="Calibri" w:hAnsi="Calibri"/>
          <w:b w:val="0"/>
          <w:color w:val="3A4A28"/>
          <w:sz w:val="17"/>
        </w:rPr>
        <w:t>FinancialContent — The Trade Desk Defies Market Slump, March 20, 2026</w:t>
      </w:r>
    </w:p>
    <w:p>
      <w:pPr>
        <w:spacing w:before="20" w:after="20"/>
        <w:ind w:left="170"/>
      </w:pPr>
      <w:r>
        <w:rPr>
          <w:rFonts w:ascii="Calibri" w:hAnsi="Calibri"/>
          <w:b/>
          <w:color w:val="4A6B25"/>
          <w:sz w:val="15"/>
        </w:rPr>
        <w:t xml:space="preserve">4. </w:t>
      </w:r>
      <w:r>
        <w:rPr>
          <w:rFonts w:ascii="Calibri" w:hAnsi="Calibri"/>
          <w:b w:val="0"/>
          <w:color w:val="3A4A28"/>
          <w:sz w:val="17"/>
        </w:rPr>
        <w:t>Adweek — The Trade Desk Testing AI Campaign Creation with Claude,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TTD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