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TTE</w:t>
      </w:r>
      <w:r>
        <w:rPr>
          <w:rFonts w:ascii="Calibri" w:hAnsi="Calibri"/>
          <w:b/>
          <w:color w:val="1A2010"/>
          <w:sz w:val="40"/>
        </w:rPr>
        <w:t xml:space="preserve">  TotalEnergies SE</w:t>
      </w:r>
    </w:p>
    <w:p>
      <w:pPr>
        <w:spacing w:after="120"/>
      </w:pPr>
      <w:r>
        <w:rPr>
          <w:rFonts w:ascii="Calibri" w:hAnsi="Calibri"/>
          <w:b/>
          <w:color w:val="6E8450"/>
          <w:sz w:val="18"/>
        </w:rPr>
        <w:t>DIVIDEND SLEEVE · 2026-04-22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Integrated · NYSE · France</w:t>
      </w:r>
    </w:p>
    <w:p>
      <w:pPr>
        <w:spacing w:after="80"/>
      </w:pPr>
      <w:r>
        <w:rPr>
          <w:rFonts w:ascii="Calibri" w:hAnsi="Calibri"/>
          <w:b w:val="0"/>
          <w:color w:val="3A4A28"/>
          <w:sz w:val="20"/>
        </w:rPr>
        <w:t>TotalEnergies SE is a global integrated energy company producing and marketing oil and biofuels, natural gas, renewables, and electricity. Founded in 1924 and headquartered in Courbevoie, France, the company rebranded from Total SE to TotalEnergies SE in 2021 to reflect its multi-energy strategy spanning hydrocarbons, LNG, solar, wind, and battery storage.</w:t>
      </w:r>
    </w:p>
    <w:p>
      <w:r>
        <w:rPr>
          <w:rFonts w:ascii="Calibri" w:hAnsi="Calibri"/>
          <w:b/>
          <w:color w:val="6E8450"/>
          <w:sz w:val="18"/>
        </w:rPr>
        <w:t>94,847 Employees · https://totalenergies.com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TotalEnergies has executed a significant strategic transformation from a pure-play oil major to a multi-energy company, with the 2021 rebrand symbolizing the pivot. Integrated Power (renewables + electricity) is now a distinct growth segment, and the company targets a 25% increase in electricity net production for 2026 [1]. LNG portfolio expansion and new upstream project startups (Lapa in Brazil, North Field East in Qatar, Tilenga in Uganda) demonstrate ongoing execution [1]. AI Deployment (2/2): TotalEnergies has deployed AI at scale — its Digital Factory has 300 developers and data scientists with 100+ solutions built using machine learning and generative AI [3]. The company partnered with Mistral AI for energy-sector AI applications and deployed Microsoft 365 Copilot to its entire 100,000-person workforce, one of the first global companies to do so [3]. Market Share (1/2): TotalEnergies is one of the top 5 global integrated oil majors by market cap ($197B) and is the leading European energy company in LNG trading and renewable capacity expansion, but trails ExxonMobil and Chevron in scale [1]. Pipeline (1/2): Clear 2026 growth targets — 3% oil and gas production growth, 25% increase in electricity net production — with specific project startups named and timelines provided [1]. R&amp;D Intensity (0/1): R&amp;D spending is in line with industry peers but not top-quartile; the company allocates more CapEx to renewables than traditional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TotalEnergies' mission to provide 'affordable, reliable, and sustainable energy' while advancing the energy transition reflects genuine intentionality — the 2021 rebrand from Total to TotalEnergies signaled a strategic commitment to multi-energy transformation that goes beyond lip service. CEO Pouyanné has held the vision through significant market turbulence and activist pressure, connecting energy production to broader societal needs [2]. Community Impact (1/2): TotalEnergies employs ~95,000 people globally with significant community investments in operating regions, though these are partially offset by ESG controversies around the East African crude oil pipeline (Uganda/Tanzania) and Mozambique operations [4][5]. Employee Retention (1/2): Glassdoor rating of 4.0/5 with 82% recommending the company suggests above-average employee satisfaction. Employees cite 'great work environment' and collaborative culture, though some note extreme top-down hierarchy and risk-averse French business culture [3]. Average for a major energy company. Insider Buying (1/2): CEO Pouyanné has significant equity exposure with 11.5 years of tenure; however, no specific evidence of meaningful net insider buying in the last 12 months was found beyond standard compensation-related holdings.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TotalEnergies presents a strong valuation floor with mixed growth dynamics. Forward P/E of 9.6x is exceptionally cheap for a $197B integrated energy major, reflecting oil price pessimism [6]. D/E of 52.3% is well within targets and demonstrates balance sheet discipline. ROE of 11.2% is below the 15% target but reasonable given the commodity downcycle — 2025 net income of $13.1B (down 17% from $15.8B) reflects a 15% decline in Brent prices rather than operational failure [1]. The revenue decline (3yr CAGR of -11.5%) is entirely commodity-price driven as volumes grew — the company targets 3% production growth and 25% electricity production growth for 2026 [1]. Profit margin of 7.2% is modest but typical for an integrated energy company processing $182B in revenue. The dividend is a key attraction: 4.15% yield with 30+ years of consecutive payments and a 5yr CAGR of 6.5%, supported by $27.3B operating cash flow and $14.2B FCF [6]. Liquidity floor cleared: 2.15M avg volume × $88.37 = $190.4M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TotalEnergies under Pouyanné's 11.5-year tenure plays a credible long game — the multi-energy transition from 'Total' to 'TotalEnergies' represents a genuine strategic evolution, not a marketing exercise. The company invests in renewables and electricity while maintaining hydrocarbon cash flows to fund the transition, demonstrating patience and strategic consistency. However, ESG controversies (Uganda pipeline, Mozambique) and criticism of insufficient transition speed temper the infinite game assessment.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TotalEnergies articulates a genuine cause — enabling the energy transition by providing affordable, reliable, and increasingly clean energy. The 2021 rebrand and multi-energy strategy reflect authentic commitment, validated by growing investments in renewables, LNG, and electricity. Pouyanné's 11.5-year tenure and consistent strategic direction through oil price volatility demonstrate the cause is more than marketing [1][2]. However, the company has not yet faced the ultimate test of abandoning hydrocarbons, and critics argue the transition pace is insufficient.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4.0/5 with 82% recommending the company indicates adequate organizational trust [3]. TotalEnergies employs 95,000 people with generally stable leadership. However, employee reviews note extreme top-down hierarchy and risk-averse French corporate culture, suggesting limited empowerment at lower levels. The Digital Factory team of 300 AI developers represents a pocket of innovation culture within a traditional energy company.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TotalEnergies explicitly benchmarks against ExxonMobil, Shell, and BP, using their strategies as reference points to refine its own multi-energy approach. Pouyanné has acknowledged Shell's LNG scale and Exxon's upstream efficiency as competitive reference points while differentiating TotalEnergies' Integrated Power strategy as a unique competitive position [1][2]. The company frames competition as motivation to lead the energy transition, not as a zero-sum war.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transformation from Total (a pure-play oil major) to TotalEnergies (a multi-energy company) represents meaningful strategic evolution, with Integrated Power becoming a distinct growth segment alongside traditional hydrocarbons and LNG [1]. The company is investing billions in renewables and electricity while maintaining hydrocarbon cash flows. However, this is incremental diversification, not a transformative pivot — hydrocarbons remain the dominant profit center, and the company has not abandoned any core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Pouyanné has shown courage in committing to the multi-energy transition despite activist pressure from both sides — environmental groups demanding faster decarbonization and shareholders demanding capital discipline [2][4]. The $17B+ annual CapEx allocation including significant renewable investment during commodity volatility demonstrates long-term conviction. Pouyanné has publicly considered a US listing to escape ESG-driven valuation discounts in Europe, showing willingness to make unconventional moves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TotalEnergies offers a compelling value proposition as a deeply discounted integrated energy major trading at 9.6x forward earnings with a 4.15% dividend yield, supported by $27.3B in operating cash flow and $14.2B in free cash flow [1][6]. The company's multi-energy strategy positions it uniquely among European majors — targeting 3% oil and gas production growth, 25% electricity production growth, and cash flow above $26B in 2026, even at conservative $60/bbl Brent assumptions [1]. The Integrated Power segment provides optionality on growing AI data center electricity demand. At $88/share, the stock offers a margin of safety through robust capital returns (dividend growth plus buybacks) while providing exposure to both energy transition upside and traditional hydrocarbon cash flows. CEO Pouyanné's 11.5-year tenure provides strategic continuity.</w:t>
      </w:r>
    </w:p>
    <w:p>
      <w:pPr>
        <w:spacing w:after="120"/>
      </w:pPr>
      <w:r>
        <w:rPr>
          <w:rFonts w:ascii="Calibri" w:hAnsi="Calibri"/>
          <w:b w:val="0"/>
          <w:color w:val="3A4A28"/>
          <w:sz w:val="20"/>
        </w:rPr>
        <w:t>The bear case centers on commodity price exposure and ESG headwinds. Revenue has declined 31% from $263B (2022) to $182B (2025) as Brent oil prices fell, and net income dropped from $20.5B to $13.1B over the same period [1][6]. Profit margin of 7.2% is thin and highly sensitive to commodity swings. ESG controversies — including the East African crude oil pipeline, Mozambique security concerns, and a $48M CFTC fine for gasoline market manipulation — create reputational and regulatory risk [4][5]. The 3yr revenue CAGR of -11.5% reflects structural commodity deflation risk. European ESG regulations and investor sentiment have capped the stock's valuation versus US peers, prompting Pouyanné to explore a US listing — a process that could create uncertainty. The energy transition demands massive CapEx ($17B+/year) that may compress returns if oil prices decline further while renewable investments take years to generate returns. Payout ratio of 67% is elevated given earnings cyclicality.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production growth — 3% oil and gas volume increase from specific project ramp-ups (Lapa Brazil, North Field East Qatar, Tilenga Uganda) plus 25% electricity production growth from Integrated Power segment [1]</w:t>
      </w:r>
    </w:p>
    <w:p>
      <w:pPr>
        <w:spacing w:before="40" w:after="40"/>
        <w:ind w:left="283"/>
      </w:pPr>
      <w:r>
        <w:rPr>
          <w:rFonts w:ascii="Calibri" w:hAnsi="Calibri"/>
          <w:b/>
          <w:color w:val="4A6B25"/>
          <w:sz w:val="20"/>
        </w:rPr>
        <w:t xml:space="preserve">2. </w:t>
      </w:r>
      <w:r>
        <w:rPr>
          <w:rFonts w:ascii="Calibri" w:hAnsi="Calibri"/>
          <w:b w:val="0"/>
          <w:color w:val="3A4A28"/>
          <w:sz w:val="20"/>
        </w:rPr>
        <w:t>AI data center electricity demand — growing power consumption from AI infrastructure creates a structural tailwind for TotalEnergies' Integrated Power segment, potentially accelerating the transition timeline [3]</w:t>
      </w:r>
    </w:p>
    <w:p>
      <w:pPr>
        <w:spacing w:before="40" w:after="40"/>
        <w:ind w:left="283"/>
      </w:pPr>
      <w:r>
        <w:rPr>
          <w:rFonts w:ascii="Calibri" w:hAnsi="Calibri"/>
          <w:b/>
          <w:color w:val="4A6B25"/>
          <w:sz w:val="20"/>
        </w:rPr>
        <w:t xml:space="preserve">3. </w:t>
      </w:r>
      <w:r>
        <w:rPr>
          <w:rFonts w:ascii="Calibri" w:hAnsi="Calibri"/>
          <w:b w:val="0"/>
          <w:color w:val="3A4A28"/>
          <w:sz w:val="20"/>
        </w:rPr>
        <w:t>Potential US listing — Pouyanné has explored listing TotalEnergies in the US to escape European ESG-driven valuation discounts, which could unlock 30-40% multiple re-rating to US peer levels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Commodity price sensitivity — 2025 net income dropped 17% on a 15% decline in Brent; at $50/bbl Brent, cash flow would fall below CapEx + dividend commitments, forcing dividend cuts or balance sheet deterioration [1][6]</w:t>
      </w:r>
    </w:p>
    <w:p>
      <w:pPr>
        <w:spacing w:before="40" w:after="40"/>
        <w:ind w:left="283"/>
      </w:pPr>
      <w:r>
        <w:rPr>
          <w:rFonts w:ascii="Calibri" w:hAnsi="Calibri"/>
          <w:b/>
          <w:color w:val="4A6B25"/>
          <w:sz w:val="20"/>
        </w:rPr>
        <w:t xml:space="preserve">2. </w:t>
      </w:r>
      <w:r>
        <w:rPr>
          <w:rFonts w:ascii="Calibri" w:hAnsi="Calibri"/>
          <w:b w:val="0"/>
          <w:color w:val="3A4A28"/>
          <w:sz w:val="20"/>
        </w:rPr>
        <w:t>ESG and regulatory controversy — East African crude oil pipeline faces activist opposition, Mozambique operations carry security risk, and European ESG regulations constrain investor appetite and valuation multiples [4][5]</w:t>
      </w:r>
    </w:p>
    <w:p>
      <w:pPr>
        <w:spacing w:before="40" w:after="40"/>
        <w:ind w:left="283"/>
      </w:pPr>
      <w:r>
        <w:rPr>
          <w:rFonts w:ascii="Calibri" w:hAnsi="Calibri"/>
          <w:b/>
          <w:color w:val="4A6B25"/>
          <w:sz w:val="20"/>
        </w:rPr>
        <w:t xml:space="preserve">3. </w:t>
      </w:r>
      <w:r>
        <w:rPr>
          <w:rFonts w:ascii="Calibri" w:hAnsi="Calibri"/>
          <w:b w:val="0"/>
          <w:color w:val="3A4A28"/>
          <w:sz w:val="20"/>
        </w:rPr>
        <w:t>Energy transition execution risk — $17B+ annual CapEx split between hydrocarbons and renewables may prove insufficient for either strategy, with renewable investments generating lower near-term returns while hydrocarbon assets face long-term stranded asset risk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TotalEnergies' core business — extracting, refining, and distributing physical energy commodities — is structurally immune to AI disruption. AI cannot replace oil wells, LNG terminals, refineries, or solar farms. Moreover, AI is a net demand driver for energy: data center power consumption is growing exponentially, and TotalEnergies is positioned to benefit from increased electricity demand through its Integrated Power segment [3]. The IEA has flagged that AI's energy demand is 'immediate and accelerating,' creating a structural tailwind for energy producers. AI Opportunity (1/1): TotalEnergies generates meaningful value from AI through its Digital Factory (300 developers, 100+ AI solutions deployed), Mistral AI partnership for energy-sector applications, and Microsoft Copilot deployment to 100,000 employees for productivity gains [3]. AI is being used for reservoir optimization, predictive maintenance, and renewable energy forecasting.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TotalEnergies 2025 Annual Results — $182B revenue, $13.1B net income, 2026 guidance for 3% production growth and 25% electricity growth, February 2026</w:t>
      </w:r>
    </w:p>
    <w:p>
      <w:pPr>
        <w:spacing w:before="20" w:after="20"/>
        <w:ind w:left="170"/>
      </w:pPr>
      <w:r>
        <w:rPr>
          <w:rFonts w:ascii="Calibri" w:hAnsi="Calibri"/>
          <w:b/>
          <w:color w:val="4A6B25"/>
          <w:sz w:val="15"/>
        </w:rPr>
        <w:t xml:space="preserve">2. </w:t>
      </w:r>
      <w:r>
        <w:rPr>
          <w:rFonts w:ascii="Calibri" w:hAnsi="Calibri"/>
          <w:b w:val="0"/>
          <w:color w:val="3A4A28"/>
          <w:sz w:val="17"/>
        </w:rPr>
        <w:t>TotalEnergies CEO Patrick Pouyanné — 11.5-year tenure, multi-energy strategy leadership, Glassdoor 4.0/5 rating with 82% recommendation rate</w:t>
      </w:r>
    </w:p>
    <w:p>
      <w:pPr>
        <w:spacing w:before="20" w:after="20"/>
        <w:ind w:left="170"/>
      </w:pPr>
      <w:r>
        <w:rPr>
          <w:rFonts w:ascii="Calibri" w:hAnsi="Calibri"/>
          <w:b/>
          <w:color w:val="4A6B25"/>
          <w:sz w:val="15"/>
        </w:rPr>
        <w:t xml:space="preserve">3. </w:t>
      </w:r>
      <w:r>
        <w:rPr>
          <w:rFonts w:ascii="Calibri" w:hAnsi="Calibri"/>
          <w:b w:val="0"/>
          <w:color w:val="3A4A28"/>
          <w:sz w:val="17"/>
        </w:rPr>
        <w:t>TotalEnergies AI Strategy — Digital Factory (300 developers, 100+ AI solutions), Mistral AI partnership, Microsoft 365 Copilot deployment to 100,000 employees</w:t>
      </w:r>
    </w:p>
    <w:p>
      <w:pPr>
        <w:spacing w:before="20" w:after="20"/>
        <w:ind w:left="170"/>
      </w:pPr>
      <w:r>
        <w:rPr>
          <w:rFonts w:ascii="Calibri" w:hAnsi="Calibri"/>
          <w:b/>
          <w:color w:val="4A6B25"/>
          <w:sz w:val="15"/>
        </w:rPr>
        <w:t xml:space="preserve">4. </w:t>
      </w:r>
      <w:r>
        <w:rPr>
          <w:rFonts w:ascii="Calibri" w:hAnsi="Calibri"/>
          <w:b w:val="0"/>
          <w:color w:val="3A4A28"/>
          <w:sz w:val="17"/>
        </w:rPr>
        <w:t>TotalEnergies ESG Controversies — East African crude oil pipeline (Uganda/Tanzania), Mozambique security concerns, inaugural Corporate Sustainability Report</w:t>
      </w:r>
    </w:p>
    <w:p>
      <w:pPr>
        <w:spacing w:before="20" w:after="20"/>
        <w:ind w:left="170"/>
      </w:pPr>
      <w:r>
        <w:rPr>
          <w:rFonts w:ascii="Calibri" w:hAnsi="Calibri"/>
          <w:b/>
          <w:color w:val="4A6B25"/>
          <w:sz w:val="15"/>
        </w:rPr>
        <w:t xml:space="preserve">5. </w:t>
      </w:r>
      <w:r>
        <w:rPr>
          <w:rFonts w:ascii="Calibri" w:hAnsi="Calibri"/>
          <w:b w:val="0"/>
          <w:color w:val="3A4A28"/>
          <w:sz w:val="17"/>
        </w:rPr>
        <w:t>Bloomberg, Sustainalytics — ESG rules backlash, $48M CFTC fine for gasoline market manipulation, potential US listing exploration</w:t>
      </w:r>
    </w:p>
    <w:p>
      <w:pPr>
        <w:spacing w:before="20" w:after="20"/>
        <w:ind w:left="170"/>
      </w:pPr>
      <w:r>
        <w:rPr>
          <w:rFonts w:ascii="Calibri" w:hAnsi="Calibri"/>
          <w:b/>
          <w:color w:val="4A6B25"/>
          <w:sz w:val="15"/>
        </w:rPr>
        <w:t xml:space="preserve">6. </w:t>
      </w:r>
      <w:r>
        <w:rPr>
          <w:rFonts w:ascii="Calibri" w:hAnsi="Calibri"/>
          <w:b w:val="0"/>
          <w:color w:val="3A4A28"/>
          <w:sz w:val="17"/>
        </w:rPr>
        <w:t>Yahoo Finance / yfinance data for TTE (TotalEnergies SE), retrieved April 22,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