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TTI</w:t>
      </w:r>
      <w:r>
        <w:rPr>
          <w:rFonts w:ascii="Calibri" w:hAnsi="Calibri"/>
          <w:b/>
          <w:color w:val="1A2010"/>
          <w:sz w:val="40"/>
        </w:rPr>
        <w:t xml:space="preserve">  TETRA Technologies, Inc.</w:t>
      </w:r>
    </w:p>
    <w:p>
      <w:pPr>
        <w:spacing w:after="120"/>
      </w:pPr>
      <w:r>
        <w:rPr>
          <w:rFonts w:ascii="Calibri" w:hAnsi="Calibri"/>
          <w:b/>
          <w:color w:val="6E8450"/>
          <w:sz w:val="18"/>
        </w:rPr>
        <w:t>GROWTH SLEEVE · 2026-04-20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Conglomerates · NYSE · United States</w:t>
      </w:r>
    </w:p>
    <w:p>
      <w:pPr>
        <w:spacing w:after="80"/>
      </w:pPr>
      <w:r>
        <w:rPr>
          <w:rFonts w:ascii="Calibri" w:hAnsi="Calibri"/>
          <w:b w:val="0"/>
          <w:color w:val="3A4A28"/>
          <w:sz w:val="20"/>
        </w:rPr>
        <w:t>TETRA Technologies, Inc. is an energy services and solutions company operating through Completion Fluids &amp; Products and Water &amp; Flowback Services segments. The company manufactures clear brine fluids, additives, and calcium chloride products for the oil and gas industry, while also providing water management, frac flowback, and production testing services across the United States, Latin America, Europe, Asia, and the Middle East.</w:t>
      </w:r>
    </w:p>
    <w:p>
      <w:r>
        <w:rPr>
          <w:rFonts w:ascii="Calibri" w:hAnsi="Calibri"/>
          <w:b/>
          <w:color w:val="6E8450"/>
          <w:sz w:val="18"/>
        </w:rPr>
        <w:t>1,400 Employees · https://onetetra.com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TETRA has executed a meaningful pivot toward low-carbon energy solutions, launching TETRA PureFlow ultra-pure zinc bromide for battery technology companies and expanding its water management services to address produced water recycling — both represent new revenue streams beyond traditional oilfield services [1][2]. AI Deployment (0/2): No evidence of AI-powered products or measurable AI-driven operational savings in TETRA's public disclosures or earnings calls [2]. Market Share Leadership (1/2): TETRA is a meaningful player in completion fluids with a global presence across six continents, but is not a category leader — it competes against larger oilfield services firms like Halliburton and SLB [1]. Product Pipeline (1/2): The zinc bromide battery technology pipeline and water management expansion are named growth initiatives with investor day visibility, though specific revenue targets and timelines are vague [2]. R&amp;D Intensity (1/1): TETRA's investment in PureFlow zinc bromide technology for energy storage represents above-average R&amp;D commitment for an oilfield services company of its size.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TETRA positions itself around sustainability and energy transition — 'a leading provider of solutions and systems that enable green completions' — which is clear and identifies what the company does, but is not distinctive or deeply purposeful beyond being a responsible energy services provider [3]. Community Impact (1/2): TETRA's sustainability report discloses environmental stewardship and community engagement, including human rights standards and commitment to enriching communities, though specific charitable programs or dollar amounts are limited [4]. Employee Retention (0/2): With 1,400 employees and no publicly available retention data or standout Glassdoor metrics specific to TETRA Technologies (as opposed to Tetra Tech), there is insufficient evidence to score this item [5]. Insider Buying (1/2): Insider transactions show stock award grants to CEO Murphy (371,666 shares) and multiple officers in March 2026, but these are compensation-based grants rather than open-market purchases — no evidence of meaningful net insider buying with personal funds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TETRA's infrastructure is mixed with strong valuation metrics offset by weak profitability. D/E of 81.6% is manageable and scores well (0.95) [7]. Forward P/E of 21.8 is near target, and PEG of 1.82 provides moderate growth-at-reasonable-price signal [7]. Revenue grew 9.1% YoY to $631M, just below the 10% target, with 3-year CAGR of ~4.5% [1][7]. The critical weakness is profitability: profit margin of 0.5% and ROE of 1.6% are barely above zero, reflecting the company's transition-phase investment in new business lines [7]. Forward EPS of $0.40 vs trailing EPS of $0.03 suggests significant earnings improvement expected. Liquidity passes at $16.1M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TETRA Technologies shows meaningful long-term thinking through its pivot toward low-carbon energy solutions and zinc bromide battery technology, representing genuine strategic evolution beyond its oilfield services roots. However, the company's competitive language remains finite-oriented — focused on market positioning and growth metrics — and the small 1,400-person workforce has not demonstrated the cultural depth or leadership continuity that characterize infinite-minded organizations. CEO Brady Murphy's tenure since 2019 provides adequate stability.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TETRA's purpose centers on 'enabling green completions' and sustainability in energy services, but this reads more as a market positioning strategy than a deeply articulated vision of a better future. The pivot to zinc bromide for batteries hints at a broader energy transition cause, but leadership has not articulated this as a Just Cause that transcends quarterly execution [1][3].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Brady Murphy has served since May 2019, providing seven years of leadership continuity. The 1,400-employee workforce is small enough for direct leadership influence, but no specific retention data, cultural surveys, or employee sentiment beyond generic sustainability report language is available to assess trust levels [4][5].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TETRA's competitive framing focuses on being a 'leading provider' and its market position in completion fluids. Management does not reference Halliburton, SLB, or ChampionX as worthy rivals whose strengths inform TETRA's improvement — the language is about competitive positioning rather than learning from peers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TETRA has shown meaningful strategic evolution by expanding from pure oilfield services into zinc bromide battery technology (PureFlow) and water management/recycling. These represent genuine diversification into adjacent energy transition markets, though the core oilfield business remains dominant and the pivots are incremental rather than transformative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Investing in PureFlow zinc bromide technology for energy storage batteries while maintaining a low-margin oilfield services business demonstrates willingness to invest in long-term capability. The company has maintained R&amp;D investment through cyclical downturns in oil and gas, though specific examples of sacrificing short-term earnings for long-term positioning are limited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TETRA Technologies is a turnaround story pivoting from low-margin oilfield services into higher-value energy transition markets. Revenue grew 9.1% YoY to $631M with forward P/E of 21.8x against consensus EPS of $0.40, representing a 13x improvement over trailing EPS of $0.03 [1][7]. The PureFlow zinc bromide battery technology creates optionality in the $50B+ energy storage market, while water management services benefit from increasing regulatory pressure on produced water disposal in U.S. shale basins [2]. At $8.81/share with a $1.2B market cap, the stock prices in minimal value for the battery technology pipeline.</w:t>
      </w:r>
    </w:p>
    <w:p>
      <w:pPr>
        <w:spacing w:after="120"/>
      </w:pPr>
      <w:r>
        <w:rPr>
          <w:rFonts w:ascii="Calibri" w:hAnsi="Calibri"/>
          <w:b w:val="0"/>
          <w:color w:val="3A4A28"/>
          <w:sz w:val="20"/>
        </w:rPr>
        <w:t>The bear case is that TETRA remains fundamentally an oilfield services company with anemic profitability — 0.5% profit margin, 1.6% ROE, and trailing EPS of just $0.03 on $631M of revenue [7]. The pivot to battery technology is early-stage with unproven commercial scale, and the 81.6% D/E ratio limits financial flexibility to fund the transition. Oil and gas cyclicality means a drilling downturn could compress the core business before battery revenue scales, and TETRA competes against far larger, better-capitalized oilfield services firms (Halliburton, SLB) that could replicate its niche offerings. The 293x trailing P/E leaves no margin for execution disappointments.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PureFlow zinc bromide battery technology achieving commercial-scale contracts with energy storage companies, validating the pivot beyond traditional oilfield services and potentially re-rating the stock as an energy storage play</w:t>
      </w:r>
    </w:p>
    <w:p>
      <w:pPr>
        <w:spacing w:before="40" w:after="40"/>
        <w:ind w:left="283"/>
      </w:pPr>
      <w:r>
        <w:rPr>
          <w:rFonts w:ascii="Calibri" w:hAnsi="Calibri"/>
          <w:b/>
          <w:color w:val="4A6B25"/>
          <w:sz w:val="20"/>
        </w:rPr>
        <w:t xml:space="preserve">2. </w:t>
      </w:r>
      <w:r>
        <w:rPr>
          <w:rFonts w:ascii="Calibri" w:hAnsi="Calibri"/>
          <w:b w:val="0"/>
          <w:color w:val="3A4A28"/>
          <w:sz w:val="20"/>
        </w:rPr>
        <w:t>Completion fluids demand recovery driven by increased deepwater and international drilling activity, with 9.1% revenue growth momentum accelerating into double digits</w:t>
      </w:r>
    </w:p>
    <w:p>
      <w:pPr>
        <w:spacing w:before="40" w:after="40"/>
        <w:ind w:left="283"/>
      </w:pPr>
      <w:r>
        <w:rPr>
          <w:rFonts w:ascii="Calibri" w:hAnsi="Calibri"/>
          <w:b/>
          <w:color w:val="4A6B25"/>
          <w:sz w:val="20"/>
        </w:rPr>
        <w:t xml:space="preserve">3. </w:t>
      </w:r>
      <w:r>
        <w:rPr>
          <w:rFonts w:ascii="Calibri" w:hAnsi="Calibri"/>
          <w:b w:val="0"/>
          <w:color w:val="3A4A28"/>
          <w:sz w:val="20"/>
        </w:rPr>
        <w:t>Water management regulatory tightening in Permian Basin and other U.S. shale regions increasing demand for TETRA's produced water recycling services at higher margins than traditional disposal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 and gas drilling downturn from lower commodity prices could compress core oilfield services revenue, which still represents the majority of TETRA's $631M revenue base, before battery technology scales</w:t>
      </w:r>
    </w:p>
    <w:p>
      <w:pPr>
        <w:spacing w:before="40" w:after="40"/>
        <w:ind w:left="283"/>
      </w:pPr>
      <w:r>
        <w:rPr>
          <w:rFonts w:ascii="Calibri" w:hAnsi="Calibri"/>
          <w:b/>
          <w:color w:val="4A6B25"/>
          <w:sz w:val="20"/>
        </w:rPr>
        <w:t xml:space="preserve">2. </w:t>
      </w:r>
      <w:r>
        <w:rPr>
          <w:rFonts w:ascii="Calibri" w:hAnsi="Calibri"/>
          <w:b w:val="0"/>
          <w:color w:val="3A4A28"/>
          <w:sz w:val="20"/>
        </w:rPr>
        <w:t>Zinc bromide battery technology may fail to achieve commercial scale or face competition from established battery chemistries (lithium-ion, sodium-ion), stranding TETRA's R&amp;D investment and invalidating the growth thesis</w:t>
      </w:r>
    </w:p>
    <w:p>
      <w:pPr>
        <w:spacing w:before="40" w:after="40"/>
        <w:ind w:left="283"/>
      </w:pPr>
      <w:r>
        <w:rPr>
          <w:rFonts w:ascii="Calibri" w:hAnsi="Calibri"/>
          <w:b/>
          <w:color w:val="4A6B25"/>
          <w:sz w:val="20"/>
        </w:rPr>
        <w:t xml:space="preserve">3. </w:t>
      </w:r>
      <w:r>
        <w:rPr>
          <w:rFonts w:ascii="Calibri" w:hAnsi="Calibri"/>
          <w:b w:val="0"/>
          <w:color w:val="3A4A28"/>
          <w:sz w:val="20"/>
        </w:rPr>
        <w:t>Profit margin of 0.5% and ROE of 1.6% leave no buffer — any revenue softness or cost inflation could push the company into losses, with 81.6% D/E ratio limiting ability to absorb cyclical downturns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TETRA's core businesses — manufacturing completion fluids, providing water management services, and frac flowback operations — are physical-world, hands-on oilfield services that AI cannot substitute. The business requires chemical manufacturing facilities, field crews, and specialized equipment deployed at remote well sites [1]. However, AI-enabled predictive analytics from larger competitors could optimize completion fluid selection and water management decisions, potentially commoditizing TETRA's advisory value-add and squeezing margins over time. No analysts have flagged AI as a direct substitution risk, but the competitive landscape could shift as Halliburton and SLB deploy AI across their service offerings [2]. AI Opportunity (0/1): No evidence of AI-generated revenue. TETRA has not disclosed AI products, services, or measurable AI-driven efficiency gains in its operations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TETRA Technologies 10-K Annual Report, FY2025 — revenue $631M, completion fluids and water services segments</w:t>
      </w:r>
    </w:p>
    <w:p>
      <w:pPr>
        <w:spacing w:before="20" w:after="20"/>
        <w:ind w:left="170"/>
      </w:pPr>
      <w:r>
        <w:rPr>
          <w:rFonts w:ascii="Calibri" w:hAnsi="Calibri"/>
          <w:b/>
          <w:color w:val="4A6B25"/>
          <w:sz w:val="15"/>
        </w:rPr>
        <w:t xml:space="preserve">2. </w:t>
      </w:r>
      <w:r>
        <w:rPr>
          <w:rFonts w:ascii="Calibri" w:hAnsi="Calibri"/>
          <w:b w:val="0"/>
          <w:color w:val="3A4A28"/>
          <w:sz w:val="17"/>
        </w:rPr>
        <w:t>TETRA Technologies Q4 2025 Earnings Call — StockStory highlights, revenue growth 9.1% YoY, PureFlow battery pipeline</w:t>
      </w:r>
    </w:p>
    <w:p>
      <w:pPr>
        <w:spacing w:before="20" w:after="20"/>
        <w:ind w:left="170"/>
      </w:pPr>
      <w:r>
        <w:rPr>
          <w:rFonts w:ascii="Calibri" w:hAnsi="Calibri"/>
          <w:b/>
          <w:color w:val="4A6B25"/>
          <w:sz w:val="15"/>
        </w:rPr>
        <w:t xml:space="preserve">3. </w:t>
      </w:r>
      <w:r>
        <w:rPr>
          <w:rFonts w:ascii="Calibri" w:hAnsi="Calibri"/>
          <w:b w:val="0"/>
          <w:color w:val="3A4A28"/>
          <w:sz w:val="17"/>
        </w:rPr>
        <w:t>TETRA Technologies Corporate Website — onetetra.com, sustainability and green completions positioning</w:t>
      </w:r>
    </w:p>
    <w:p>
      <w:pPr>
        <w:spacing w:before="20" w:after="20"/>
        <w:ind w:left="170"/>
      </w:pPr>
      <w:r>
        <w:rPr>
          <w:rFonts w:ascii="Calibri" w:hAnsi="Calibri"/>
          <w:b/>
          <w:color w:val="4A6B25"/>
          <w:sz w:val="15"/>
        </w:rPr>
        <w:t xml:space="preserve">4. </w:t>
      </w:r>
      <w:r>
        <w:rPr>
          <w:rFonts w:ascii="Calibri" w:hAnsi="Calibri"/>
          <w:b w:val="0"/>
          <w:color w:val="3A4A28"/>
          <w:sz w:val="17"/>
        </w:rPr>
        <w:t>TETRA Technologies 2022 Sustainability Report — ESG disclosures, human rights standards, community engagement</w:t>
      </w:r>
    </w:p>
    <w:p>
      <w:pPr>
        <w:spacing w:before="20" w:after="20"/>
        <w:ind w:left="170"/>
      </w:pPr>
      <w:r>
        <w:rPr>
          <w:rFonts w:ascii="Calibri" w:hAnsi="Calibri"/>
          <w:b/>
          <w:color w:val="4A6B25"/>
          <w:sz w:val="15"/>
        </w:rPr>
        <w:t xml:space="preserve">5. </w:t>
      </w:r>
      <w:r>
        <w:rPr>
          <w:rFonts w:ascii="Calibri" w:hAnsi="Calibri"/>
          <w:b w:val="0"/>
          <w:color w:val="3A4A28"/>
          <w:sz w:val="17"/>
        </w:rPr>
        <w:t>Glassdoor and Comparably — TETRA Technologies employee reviews and leadership data, accessed April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TTI insider transactions, stock award grants March 2026, accessed April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TTI key statistics (D/E 81.6%, ROE 1.6%, P/E 293.7x, Forward P/E 21.8x),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