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371600" cy="7232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723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40"/>
      </w:pPr>
      <w:r>
        <w:rPr>
          <w:rFonts w:ascii="Calibri" w:hAnsi="Calibri"/>
          <w:b/>
          <w:color w:val="4A6B25"/>
          <w:sz w:val="56"/>
        </w:rPr>
        <w:t>TTMI</w:t>
      </w:r>
      <w:r>
        <w:rPr>
          <w:rFonts w:ascii="Calibri" w:hAnsi="Calibri"/>
          <w:b/>
          <w:color w:val="1A2010"/>
          <w:sz w:val="40"/>
        </w:rPr>
        <w:t xml:space="preserve">  TTM Technologies, Inc.</w:t>
      </w:r>
    </w:p>
    <w:p>
      <w:pPr>
        <w:spacing w:after="120"/>
      </w:pPr>
      <w:r>
        <w:rPr>
          <w:rFonts w:ascii="Calibri" w:hAnsi="Calibri"/>
          <w:b/>
          <w:color w:val="6E8450"/>
          <w:sz w:val="18"/>
        </w:rPr>
        <w:t>GROWTH SLEEVE · 2026-04-13 · Inspire: 44 · INFINITE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1200" w:type="dxa"/>
      </w:tblPr>
      <w:tblGrid>
        <w:gridCol w:w="10800"/>
      </w:tblGrid>
      <w:tr>
        <w:tc>
          <w:tcPr>
            <w:tcW w:type="dxa" w:w="10800"/>
            <w:shd w:fill="E8F5E9" w:val="clea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16A34A"/>
                <w:sz w:val="20"/>
              </w:rPr>
              <w:t>BUY</w:t>
            </w:r>
          </w:p>
        </w:tc>
      </w:tr>
    </w:tbl>
    <w:p>
      <w:pPr>
        <w:spacing w:before="120" w:after="200"/>
      </w:pPr>
      <w:r>
        <w:rPr>
          <w:rFonts w:ascii="Calibri" w:hAnsi="Calibri"/>
          <w:b/>
          <w:color w:val="1A2010"/>
          <w:sz w:val="80"/>
        </w:rPr>
        <w:t>78</w:t>
      </w:r>
      <w:r>
        <w:rPr>
          <w:rFonts w:ascii="Calibri" w:hAnsi="Calibri"/>
          <w:b w:val="0"/>
          <w:color w:val="9DAF88"/>
          <w:sz w:val="28"/>
        </w:rPr>
        <w:t xml:space="preserve"> / </w:t>
      </w:r>
      <w:r>
        <w:rPr>
          <w:rFonts w:ascii="Calibri" w:hAnsi="Calibri"/>
          <w:b w:val="0"/>
          <w:color w:val="9DAF88"/>
          <w:sz w:val="24"/>
        </w:rPr>
        <w:t>100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COMPANY PROFILE</w:t>
            </w:r>
          </w:p>
        </w:tc>
      </w:tr>
    </w:tbl>
    <w:p>
      <w:r>
        <w:rPr>
          <w:rFonts w:ascii="Calibri" w:hAnsi="Calibri"/>
          <w:b/>
          <w:color w:val="6E8450"/>
          <w:sz w:val="18"/>
        </w:rPr>
        <w:t>Technology · Electronic Components · NASDAQ · United States</w:t>
      </w:r>
    </w:p>
    <w:p>
      <w:pPr>
        <w:spacing w:after="80"/>
      </w:pPr>
      <w:r>
        <w:rPr>
          <w:rFonts w:ascii="Calibri" w:hAnsi="Calibri"/>
          <w:b w:val="0"/>
          <w:color w:val="3A4A28"/>
          <w:sz w:val="20"/>
        </w:rPr>
        <w:t>TTM Technologies is a leading global manufacturer of technology solutions including mission systems, radio frequency components, RF microwave/microelectronic assemblies, and quick-turn technologically advanced printed circuit boards (PCBs). The company serves Aerospace &amp; Defense and Data Center Computing (including AI accelerators) as key high-growth end markets.</w:t>
      </w:r>
    </w:p>
    <w:p>
      <w:r>
        <w:rPr>
          <w:rFonts w:ascii="Calibri" w:hAnsi="Calibri"/>
          <w:b/>
          <w:color w:val="6E8450"/>
          <w:sz w:val="18"/>
        </w:rPr>
        <w:t>20,000 Employees · https://www.ttm.com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EXCELLENCE EVALUATION — THINK LIKE AN OWNER (50%)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Innovation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16A34A"/>
          <w:sz w:val="16"/>
        </w:rPr>
        <w:t xml:space="preserve"> STRONG 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8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4409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102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Track Record (3/3): FY2025 revenue of $2.9B (up 19% YoY) with record non-GAAP EPS of $2.46; Q4 2025 sales of $774.3M (up from $651.0M YoY) and record non-GAAP EPS of $0.70 beat estimates [1]. AI Deployment (2/2): TTMI is a direct AI infrastructure beneficiary — Data Center and Networking grew to 36% of total revenue, up from mid-20s a year ago, driven almost entirely by demand for high-speed, high-density PCBs used in AI accelerators [1]. AI is an existential tailwind, not threat. Market Share (1/2): Top-5 global PCB manufacturer with leadership in advanced/high-density designs and Aerospace &amp; Defense; fragmented market with Asian competitors on commodity PCBs. Pipeline (1/2): 2026 sales guidance of 15-20% growth; Q1 2026 guidance of $770-$810M; $240-$260M 2026 capex plus incremental $200-$300M over 2-3 years for AI/data center capacity in China [1]. R&amp;D Intensity (1/1): Continuous investment in advanced PCB technology (HDI, Any-Layer HDI, Rigid-Flex) to support leading-edge defense and AI customers [1].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Inspiration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16A34A"/>
          <w:sz w:val="16"/>
        </w:rPr>
        <w:t xml:space="preserve"> STRONG 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7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858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654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Mission Floor (3/4): Enabling mission-critical electronics for defense and AI applications is a coherent, high-stakes mission. Community Impact (2/2): Employs ~20,000 globally; supports U.S. defense industrial base with domestic PCB manufacturing capacity at a time of national security focus [2]. ISO 14001-certified manufacturing and Carbon Neutral by 2040 commitment [3]. Employee Retention (1/2): Former CEO Tom Edman's approval rate in Top 5% of all CEOs on Comparably; employees most happy with Leadership [2]. Transition to new CEO Edwin Roks in September 2025 creates some continuity risk. Insider Buying (1/2): Recent insider sale flagged in April 2026; capital deployment prioritizing growth capex over buybacks.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Infrastructure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DEVELOPING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FY2025 revenue of $2.9B (up 19%) and record non-GAAP EPS of $2.46 reflect strong operating leverage, but GAAP P/E of ~62-71x is elevated [4]. Forward P/E on 2026 guidance (15-20% growth) implies ~40-45x — still a premium multiple. Data Center segment mix shift (36% of revenue) brings AI tailwinds but also customer concentration risk. Balance sheet supports $240-$260M 2026 capex plus $200-$300M incremental China AI capacity over 2-3 years [1]. No dividend (reinvesting in capacity). Profit margin is mid single digits on GAAP basis. Stock at ~$121 near 52-week highs reflects much of the AI optimism; set to grow into the multiple if 15-20% revenue growth delivers [4]. Liquidity floor easily cleared: ~$12.6B market cap.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FINITE VS INFINITE GAME — SINEK (25%)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Mindset: </w:t>
      </w:r>
      <w:r>
        <w:rPr>
          <w:rFonts w:ascii="Calibri" w:hAnsi="Calibri"/>
          <w:b/>
          <w:color w:val="16A34A"/>
          <w:sz w:val="22"/>
        </w:rPr>
        <w:t>INFINITE</w:t>
      </w:r>
      <w:r>
        <w:rPr>
          <w:rFonts w:ascii="Calibri" w:hAnsi="Calibri"/>
          <w:b w:val="0"/>
          <w:color w:val="6E8450"/>
          <w:sz w:val="22"/>
        </w:rPr>
        <w:t xml:space="preserve">      Overall: </w:t>
      </w:r>
      <w:r>
        <w:rPr>
          <w:rFonts w:ascii="Calibri" w:hAnsi="Calibri"/>
          <w:b/>
          <w:color w:val="16A34A"/>
          <w:sz w:val="28"/>
        </w:rPr>
        <w:t>7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p>
      <w:pPr>
        <w:spacing w:after="120"/>
      </w:pPr>
      <w:r>
        <w:rPr>
          <w:rFonts w:ascii="Calibri" w:hAnsi="Calibri"/>
          <w:b w:val="0"/>
          <w:color w:val="3A4A28"/>
          <w:sz w:val="18"/>
        </w:rPr>
        <w:t>TTMI plays an infinite game in capital-intensive, mission-critical manufacturing — long payback periods, deep customer qualifications, and multi-year defense programs require patient capital and culture. Edman's decade-plus tenure built diversification and the A&amp;D/AI focus; new CEO Edwin Roks inherits a strong platform.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Just Cause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7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858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654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Building the mission-critical electronics backbone for U.S. defense and the AI compute revolution is a durable cause with clear societal/national-security significance [1][2]. The A&amp;D focus adds purposeful long-term orientation.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Trusting Teams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7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858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654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Former CEO Tom Edman's approval rate in Top 5% of all CEOs on Comparably; employees report high satisfaction with leadership [2]. ISO 14001 certification across all manufacturing facilities signals operational discipline and employee training investment [3].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Worthy Rivals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Competes with Asian PCB manufacturers (Zhen Ding, Unimicron, Nippon Mektron) and faces domestic competition on specialty A&amp;D work. Acknowledges Asian cost leadership in commodity PCBs while focusing on high-mix, high-complexity designs where U.S. manufacturing and security clearances matter [1].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Existential Flexibility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8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4409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102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Under Edman (2014-2025), TTMI executed major acquisitions/divestitures, diversified end markets, and pivoted from commodity PCBs to A&amp;D and AI Data Center high-value segments — a textbook existential pivot [2]. Data Center &amp; Networking moving from mid-20s to 36% of revenue in one year is remarkable flexibility [1].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Courage To Lead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7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858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654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Commitment to $240-$260M 2026 capex plus $200-$300M incremental AI/data center capacity over 2-3 years demonstrates conviction in the multi-year AI cycle [1]. Planned CEO transition to Edwin Roks in Sep 2025 was signaled well in advance, reflecting governance discipline [2].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INVESTMENT THESIS</w:t>
            </w:r>
          </w:p>
        </w:tc>
      </w:tr>
    </w:tbl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TTM Technologies is a pure-play AI infrastructure and defense electronics manufacturer riding two multi-decade tailwinds. FY2025 revenue grew 19% to $2.9B with record non-GAAP EPS of $2.46; Data Center and Networking exploded from mid-20s to 36% of revenue in one year on AI accelerator PCB demand [1]. 2026 guidance of 15-20% sales growth and Q1 2026 $770-$810M revenue/$0.64-$0.70 non-GAAP EPS validates the AI thesis [1]. $240-$260M 2026 capex plus $200-$300M incremental over 2-3 years positions TTMI to capture sustained hyperscaler demand [1]. The dual engine of AI Data Center + Aerospace &amp; Defense provides cyclical diversification — defense is a long-cycle, counter-cyclical base while AI delivers accelerating growth. New CEO Edwin Roks (Sep 2025) inherits a strong platform built through Edman's decade of diversification.</w:t>
      </w:r>
    </w:p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The bear case is valuation and customer concentration. At ~$121 and ~62x GAAP earnings (~40x forward), TTMI's multiple already reflects AI enthusiasm; any hyperscaler capex moderation or share loss to Asian competitors could compress the multiple sharply [4]. Data Center concentration at 36% of revenue creates dependence on a small number of large AI/hyperscaler customers who have shown willingness to dual-source. AI capacity expansion in China (adjacent to U.S. export controls and geopolitical tension) is a meaningful operational risk, particularly if U.S.-China relations deteriorate. CEO transition from Tom Edman (2014-2025) to Edwin Roks introduces execution risk on the complex multi-year capex program [2]. Mid-single-digit GAAP profit margins leave little room for error, and the capital-intensive model means ROIC depends on sustained hyperscaler demand. Insider sales flagged in early April 2026 warrant monitoring [4].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CATALYSTS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2026 revenue growth guidance of 15-20% driven by AI accelerator PCB demand and Data Center segment expansion to ~36%+ of revenue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Incremental $200-$300M AI/data center capex over 2-3 years supporting multi-year hyperscaler buildout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Aerospace &amp; Defense program funding (multi-year U.S. defense budget increases) providing a counter-cyclical base to commercial AI demand [2]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DC2626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RISKS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Valuation risk — ~62x GAAP P/E (~40x forward) requires sustained 15-20% growth; any AI capex moderation could compress the multiple sharply [4]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China/geopolitical risk — incremental AI capacity expansion in China exposed to U.S. export controls and U.S.-China tensions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Customer concentration in AI Data Center (36% of revenue) dependent on a small number of hyperscalers with dual-sourcing power [1]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AI RESILIENCE (25%)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AI Resilience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16A34A"/>
          <w:sz w:val="16"/>
        </w:rPr>
        <w:t xml:space="preserve"> LOW RISK 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9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4961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551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AI Risk Protection (8/9): TTMI is among the purest AI infrastructure beneficiaries — high-density PCBs are mandatory for NVIDIA, AMD, and hyperscaler AI accelerator platforms. Data Center and Networking segment grew to 36% of total revenue from mid-20s, entirely driven by AI demand [1]. Defense/A&amp;D adds a counter-cyclical base of long-cycle, high-reliability PCB demand insulated from commercial cycles [2]. AI is not a threat — it is the primary growth vector. AI Opportunity (1/1): Incremental $200-$300M capex over 2-3 years for AI/data center capacity in China (and U.S. expansion for domestic defense) positions TTMI to capture an extended AI/hyperscaler build cycle [1].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FAITH ALIGNMENT — INSPIRE INSIGHT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Inspire Impact Score:  </w:t>
      </w:r>
      <w:r>
        <w:rPr>
          <w:rFonts w:ascii="Calibri" w:hAnsi="Calibri"/>
          <w:b/>
          <w:color w:val="16A34A"/>
          <w:sz w:val="28"/>
        </w:rPr>
        <w:t>44</w:t>
      </w:r>
      <w:r>
        <w:rPr>
          <w:rFonts w:ascii="Calibri" w:hAnsi="Calibri"/>
          <w:b/>
          <w:color w:val="B8860B"/>
          <w:sz w:val="20"/>
        </w:rPr>
        <w:t xml:space="preserve">    ALIGNED</w:t>
      </w:r>
    </w:p>
    <w:p>
      <w:pPr>
        <w:spacing w:before="80" w:after="40"/>
      </w:pPr>
      <w:r>
        <w:rPr>
          <w:rFonts w:ascii="Calibri" w:hAnsi="Calibri"/>
          <w:b/>
          <w:color w:val="6E8450"/>
          <w:sz w:val="18"/>
        </w:rPr>
        <w:t xml:space="preserve">Positive: </w:t>
      </w:r>
      <w:r>
        <w:rPr>
          <w:rFonts w:ascii="Calibri" w:hAnsi="Calibri"/>
          <w:b/>
          <w:color w:val="16A34A"/>
          <w:sz w:val="17"/>
        </w:rPr>
        <w:t xml:space="preserve"> Customer Privacy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Data Security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Employee Wellbeing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Ethical Supply Chain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GHG Emissions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Hiring Ethics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Materials Efficiency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Regulatory Adherence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Waste and Hazmat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Water Conservation </w:t>
      </w:r>
    </w:p>
    <w:p>
      <w:pPr>
        <w:spacing w:before="120"/>
      </w:pPr>
      <w:r>
        <w:rPr>
          <w:rFonts w:ascii="Calibri" w:hAnsi="Calibri"/>
          <w:b w:val="0"/>
          <w:color w:val="9DAF88"/>
          <w:sz w:val="15"/>
        </w:rPr>
        <w:t>Source: Inspire Insight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RESOURCES</w:t>
            </w:r>
          </w:p>
        </w:tc>
      </w:tr>
    </w:tbl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1. </w:t>
      </w:r>
      <w:r>
        <w:rPr>
          <w:rFonts w:ascii="Calibri" w:hAnsi="Calibri"/>
          <w:b w:val="0"/>
          <w:color w:val="3A4A28"/>
          <w:sz w:val="17"/>
        </w:rPr>
        <w:t>TTM Technologies Q4 and FY2025 Earnings Release — $2.9B revenue, $2.46 non-GAAP EPS, 2026 guidance, February 4,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2. </w:t>
      </w:r>
      <w:r>
        <w:rPr>
          <w:rFonts w:ascii="Calibri" w:hAnsi="Calibri"/>
          <w:b w:val="0"/>
          <w:color w:val="3A4A28"/>
          <w:sz w:val="17"/>
        </w:rPr>
        <w:t>TTM Technologies Executive Team and CEO transition to Edwin Roks, September 2025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3. </w:t>
      </w:r>
      <w:r>
        <w:rPr>
          <w:rFonts w:ascii="Calibri" w:hAnsi="Calibri"/>
          <w:b w:val="0"/>
          <w:color w:val="3A4A28"/>
          <w:sz w:val="17"/>
        </w:rPr>
        <w:t>TTM Technologies 2025 Corporate Social Responsibility Report — ISO 14001 certifications and Carbon Neutral by 2040 commitment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4. </w:t>
      </w:r>
      <w:r>
        <w:rPr>
          <w:rFonts w:ascii="Calibri" w:hAnsi="Calibri"/>
          <w:b w:val="0"/>
          <w:color w:val="3A4A28"/>
          <w:sz w:val="17"/>
        </w:rPr>
        <w:t>Yahoo Finance / Simply Wall St / Public.com — TTMI quote, P/E ratio, market cap, accessed April 13, 2026</w:t>
      </w:r>
    </w:p>
    <w:p>
      <w:pPr>
        <w:spacing w:before="400"/>
        <w:jc w:val="center"/>
      </w:pPr>
      <w:r>
        <w:rPr>
          <w:rFonts w:ascii="Calibri" w:hAnsi="Calibri"/>
          <w:b w:val="0"/>
          <w:color w:val="9DAF88"/>
          <w:sz w:val="16"/>
        </w:rPr>
        <w:t>Paradiem, LLC dba Intentional Ownership (“IOWN”) is a registered investment advisor. The information provided is for educational and informational purposes only and does not constitute investment advice.</w:t>
      </w:r>
    </w:p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