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TWO</w:t>
      </w:r>
      <w:r>
        <w:rPr>
          <w:rFonts w:ascii="Calibri" w:hAnsi="Calibri"/>
          <w:b/>
          <w:color w:val="1A2010"/>
          <w:sz w:val="40"/>
        </w:rPr>
        <w:t xml:space="preserve">  Two Harbors Investment Corp.</w:t>
      </w:r>
    </w:p>
    <w:p>
      <w:pPr>
        <w:spacing w:after="120"/>
      </w:pPr>
      <w:r>
        <w:rPr>
          <w:rFonts w:ascii="Calibri" w:hAnsi="Calibri"/>
          <w:b/>
          <w:color w:val="6E8450"/>
          <w:sz w:val="18"/>
        </w:rPr>
        <w:t>DIVIDEND SLEEVE · 2026-04-07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Two Harbors Investment Corp. is a mortgage REIT focused on investing in, financing, and managing mortgage servicing rights (MSR), residential mortgage-backed securities (RMBS), and residential mortgage loans. Through its operational platform RoundPoint Mortgage Servicing LLC, Two Harbors is one of the largest servicers of conventional loans in the United States.</w:t>
      </w:r>
    </w:p>
    <w:p>
      <w:r>
        <w:rPr>
          <w:rFonts w:ascii="Calibri" w:hAnsi="Calibri"/>
          <w:b/>
          <w:color w:val="6E8450"/>
          <w:sz w:val="18"/>
        </w:rPr>
        <w:t>https://www.twoinv.com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Two Harbors acquired RoundPoint Mortgage Servicing, transforming itself from a passive RMBS investor into an integrated MSR-focused REIT with one of the largest conventional loan servicing platforms in the U.S. [1]. However, the business has deteriorated significantly — revenue declined 49.3% YoY and book value has eroded. AI Deployment (0/2): No evidence of AI-powered products or AI-driven operational improvements. The company appointed a CTO (Chris Hurley) to manage technology platforms but no AI deployment has been disclosed [2]. Market Share (1/2): Through RoundPoint, Two Harbors is one of the largest servicers of conventional loans in the country, representing a meaningful market position in mortgage servicing [2]. Pipeline (0/2): The UWM Holdings acquisition was cancelled, and a competing $1.1B bid from an undisclosed buyer also appears to have failed [3]. No visible product pipeline or growth initiatives beyond the existing MSR portfolio. R&amp;D Intensity (0/1): Not applicable for a mortgage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Two Harbors states that 'our people are the foundation of our success' and strives to 'foster a workplace culture where every individual brings their unique perspectives' — this is generic boilerplate interchangeable with any financial services firm [2]. No distinctive purpose beyond financial returns. Community Impact (0/2): No evidence of charitable programs, community investment, or foundation activity. Employee Retention (0/2): No data available on employee retention, turnover, or tenure. Insider Buying (0/2): No evidence of meaningful net insider buying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from financial metrics. Liquidity floor passed: 4,020,984 avg vol × $11.01 = $44.3M [4]. D/E of 478.8% exceeds the 300% floor, scoring 0 — extremely leveraged even for a mortgage REIT [4]. ROE of -23.2% scores 0. Revenue growth of -49.3% YoY exceeds the -20% floor, scoring 0 [4]. Forward P/E of 8.28 scores 1.0 (cheap). Profit margin of -122.8% scores 0. Payout ratio of 75.9% scores 0.401 — reasonable given the recent dividend cuts from $0.68 to $0.34/quarter [4]. Consecutive years paid ~14 scores 1.0 (2× weight). Consecutive years of growth = 0 (dividend has been cut multiple times since 2022). 5yr dividend growth CAGR is deeply negative ($0.68→$0.34, approximately -13% CAGR), scoring 0 (2× weight). Weighted sum: 3.401 / max 11 × 10 =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Two Harbors exhibits a finite game mindset. The company has cut its dividend four times since 2022 (from $0.68 to $0.34/quarter), was the target of a failed acquisition by UWM Holdings, and faces competing acquisition bids — all signs of a company managing for survival rather than endurance. There is no articulated just cause beyond financial returns, and the serial dividend cuts demonstrate a pattern of short-term optimization over long-term commitment to stakeholders.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(0 pts → 1/10 display). Two Harbors exists to generate risk-adjusted returns for shareholders through MSR and RMBS investments. There is no articulated vision of a better future, no purpose beyond financial optimization. The company's boilerplate culture statement does not constitute a just cause. The fact that multiple parties have attempted to acquire the company suggests even the board may not see an independent long-term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(0 pts → 2/10 display). The failed UWM acquisition, competing bids, and serial dividend cuts create organizational uncertainty. New leadership appointments (CTO Chris Hurley, new heads of Servicing and Technology) suggest turnover in key roles [2]. No evidence of exceptional employee trust, empowerment, or cultural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 pts → 3/10 display). No management commentary found referencing learning from rivals or using competitive pressure for self-improvement. The company's communications focus on portfolio metrics and financial performance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 6/10 display). Two Harbors transformed from a passive RMBS investor into an integrated MSR-focused REIT through the RoundPoint acquisition, representing a genuine strategic evolution from holding securities to operating a mortgage servicing platform [1]. This pivot created operational capability that peers lack. However, the transformation has not yet produced financial stability — the company is still losing money with -122.8% profit margins.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decisions (0 pts → 2/10 display). The serial dividend cuts ($0.68→$0.60→$0.45→$0.39→$0.34) represent reactive financial management rather than courageous leadership [4]. The company accepted and then lost the UWM acquisition bid, suggesting the board was willing to sell rather than invest in an independent future. No examples of sacrificing short-term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Two Harbors is one of the largest conventional loan servicers in the U.S. through RoundPoint, offering a 12.68% dividend yield at a forward P/E of just 8.3x [4]. Q4 2025 comprehensive income of $0.48/share beat estimates of $0.37, delivering a 3.9% quarterly economic return on book value [1]. Analyst consensus forecasts $1.42 EPS for 2026 across 9 analysts, and the MSR-focused strategy provides natural hedging against interest rate movements — rising rates increase MSR values while falling rates boost RMBS prices. The stock may also benefit from M&amp;A optionality given the failed UWM deal and competing $1.1B bid [3].</w:t>
      </w:r>
    </w:p>
    <w:p>
      <w:pPr>
        <w:spacing w:after="120"/>
      </w:pPr>
      <w:r>
        <w:rPr>
          <w:rFonts w:ascii="Calibri" w:hAnsi="Calibri"/>
          <w:b w:val="0"/>
          <w:color w:val="3A4A28"/>
          <w:sz w:val="20"/>
        </w:rPr>
        <w:t>The bear case is severe. Revenue declined 49.3% YoY with -122.8% profit margins and -23.2% ROE, indicating the core business is destroying value [4]. D/E of 479% is extreme even for mortgage REITs, creating existential risk in a credit downturn. The dividend has been cut four times since 2022 — from $0.68 to $0.34/quarter — representing a 50% reduction that signals management cannot sustain payouts from operations [4]. The UWM acquisition was cancelled and a competing $1.1B bid's status is unclear, leaving the company in strategic limbo [3]. Book value erosion undermines the NAV-based valuation that mortgage REITs depend on. The 12.68% yield is a distress signal, not a value signal — the market is pricing in further dividend cuts or capital impairment.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resolution of M&amp;A activity — either a completed acquisition at a premium to current price or a credible standalone strategy that stabilizes book value [3]</w:t>
      </w:r>
    </w:p>
    <w:p>
      <w:pPr>
        <w:spacing w:before="40" w:after="40"/>
        <w:ind w:left="283"/>
      </w:pPr>
      <w:r>
        <w:rPr>
          <w:rFonts w:ascii="Calibri" w:hAnsi="Calibri"/>
          <w:b/>
          <w:color w:val="4A6B25"/>
          <w:sz w:val="20"/>
        </w:rPr>
        <w:t xml:space="preserve">2. </w:t>
      </w:r>
      <w:r>
        <w:rPr>
          <w:rFonts w:ascii="Calibri" w:hAnsi="Calibri"/>
          <w:b w:val="0"/>
          <w:color w:val="3A4A28"/>
          <w:sz w:val="20"/>
        </w:rPr>
        <w:t>Interest rate normalization benefiting the MSR portfolio and improving net interest income as the yield curve steepens</w:t>
      </w:r>
    </w:p>
    <w:p>
      <w:pPr>
        <w:spacing w:before="40" w:after="40"/>
        <w:ind w:left="283"/>
      </w:pPr>
      <w:r>
        <w:rPr>
          <w:rFonts w:ascii="Calibri" w:hAnsi="Calibri"/>
          <w:b/>
          <w:color w:val="4A6B25"/>
          <w:sz w:val="20"/>
        </w:rPr>
        <w:t xml:space="preserve">3. </w:t>
      </w:r>
      <w:r>
        <w:rPr>
          <w:rFonts w:ascii="Calibri" w:hAnsi="Calibri"/>
          <w:b w:val="0"/>
          <w:color w:val="3A4A28"/>
          <w:sz w:val="20"/>
        </w:rPr>
        <w:t>Analyst consensus of $1.42 EPS for 2026 would represent substantial improvement from current negative earnings, potentially stabilizing the dividend at $1.36/year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dividend erosion — four cuts since 2022 with no floor established; the $1.36 annual dividend requires $1.42 EPS achievement that remains uncertain [4]</w:t>
      </w:r>
    </w:p>
    <w:p>
      <w:pPr>
        <w:spacing w:before="40" w:after="40"/>
        <w:ind w:left="283"/>
      </w:pPr>
      <w:r>
        <w:rPr>
          <w:rFonts w:ascii="Calibri" w:hAnsi="Calibri"/>
          <w:b/>
          <w:color w:val="4A6B25"/>
          <w:sz w:val="20"/>
        </w:rPr>
        <w:t xml:space="preserve">2. </w:t>
      </w:r>
      <w:r>
        <w:rPr>
          <w:rFonts w:ascii="Calibri" w:hAnsi="Calibri"/>
          <w:b w:val="0"/>
          <w:color w:val="3A4A28"/>
          <w:sz w:val="20"/>
        </w:rPr>
        <w:t>Extreme leverage at 479% D/E creates binary risk — a CRE credit event or mortgage market dislocation could force fire sales of the MSR and RMBS portfolio [4]</w:t>
      </w:r>
    </w:p>
    <w:p>
      <w:pPr>
        <w:spacing w:before="40" w:after="40"/>
        <w:ind w:left="283"/>
      </w:pPr>
      <w:r>
        <w:rPr>
          <w:rFonts w:ascii="Calibri" w:hAnsi="Calibri"/>
          <w:b/>
          <w:color w:val="4A6B25"/>
          <w:sz w:val="20"/>
        </w:rPr>
        <w:t xml:space="preserve">3. </w:t>
      </w:r>
      <w:r>
        <w:rPr>
          <w:rFonts w:ascii="Calibri" w:hAnsi="Calibri"/>
          <w:b w:val="0"/>
          <w:color w:val="3A4A28"/>
          <w:sz w:val="20"/>
        </w:rPr>
        <w:t>Strategic uncertainty — the failed UWM acquisition and unclear status of competing bids leave the company without a clear path forward as an independent entity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Two Harbors' core business — managing MSR portfolios and servicing conventional mortgage loans through RoundPoint — involves heavily regulated processes, complex borrower relationships, and physical-world housing collateral that AI cannot displace [1]. Mortgage servicing requires compliance with federal and state regulations, loss mitigation expertise, and borrower communication that is structurally resistant to AI substitution. The MSR asset class itself is not threatened by AI — prepayment and interest rate risk management require human judgment in portfolio construction. However, AI tools could improve servicing efficiency (automated borrower communication, default prediction) which benefits rather than threatens the business. AI Opportunity (0/1): No quantifiable AI revenue. The company has not disclosed any AI-powered products or services generating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Investing.com / MarketBeat — Two Harbors Q4 2025 earnings: $0.48 comprehensive income per share beating $0.37 estimates, 3.9% economic return, February 2026</w:t>
      </w:r>
    </w:p>
    <w:p>
      <w:pPr>
        <w:spacing w:before="20" w:after="20"/>
        <w:ind w:left="170"/>
      </w:pPr>
      <w:r>
        <w:rPr>
          <w:rFonts w:ascii="Calibri" w:hAnsi="Calibri"/>
          <w:b/>
          <w:color w:val="4A6B25"/>
          <w:sz w:val="15"/>
        </w:rPr>
        <w:t xml:space="preserve">2. </w:t>
      </w:r>
      <w:r>
        <w:rPr>
          <w:rFonts w:ascii="Calibri" w:hAnsi="Calibri"/>
          <w:b w:val="0"/>
          <w:color w:val="3A4A28"/>
          <w:sz w:val="17"/>
        </w:rPr>
        <w:t>Craft.co / Investing.com / Two Harbors — Leadership team, CTO appointment, culture statement, and company overview</w:t>
      </w:r>
    </w:p>
    <w:p>
      <w:pPr>
        <w:spacing w:before="20" w:after="20"/>
        <w:ind w:left="170"/>
      </w:pPr>
      <w:r>
        <w:rPr>
          <w:rFonts w:ascii="Calibri" w:hAnsi="Calibri"/>
          <w:b/>
          <w:color w:val="4A6B25"/>
          <w:sz w:val="15"/>
        </w:rPr>
        <w:t xml:space="preserve">3. </w:t>
      </w:r>
      <w:r>
        <w:rPr>
          <w:rFonts w:ascii="Calibri" w:hAnsi="Calibri"/>
          <w:b w:val="0"/>
          <w:color w:val="3A4A28"/>
          <w:sz w:val="17"/>
        </w:rPr>
        <w:t>MarketScreener / HousingWire — UWM Holdings cancelled acquisition, undisclosed $1.1B competing bid for Two Harbors,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TWO financial data: price $11.01, forward P/E 8.28, D/E 478.8%, yield 12.68%, dividend history,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